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____________________О.А.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D6498B" w:rsidRPr="00716042">
        <w:rPr>
          <w:bCs/>
          <w:szCs w:val="28"/>
        </w:rPr>
        <w:t>__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C816A7">
        <w:rPr>
          <w:bCs/>
          <w:szCs w:val="28"/>
        </w:rPr>
        <w:t>декабря</w:t>
      </w:r>
      <w:r w:rsidR="001B3751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852EF2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C816A7" w:rsidRDefault="000735BB" w:rsidP="000E228C">
      <w:pPr>
        <w:pStyle w:val="11"/>
        <w:ind w:firstLine="0"/>
        <w:jc w:val="center"/>
        <w:rPr>
          <w:bCs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C816A7">
        <w:rPr>
          <w:bCs/>
          <w:szCs w:val="28"/>
        </w:rPr>
        <w:t>149</w:t>
      </w:r>
      <w:r w:rsidR="00932B85" w:rsidRPr="00572F8B">
        <w:rPr>
          <w:bCs/>
          <w:szCs w:val="28"/>
        </w:rPr>
        <w:t>/ЗКТ</w:t>
      </w:r>
      <w:r w:rsidR="00923EBF">
        <w:rPr>
          <w:bCs/>
          <w:szCs w:val="28"/>
        </w:rPr>
        <w:t xml:space="preserve"> на</w:t>
      </w:r>
      <w:r w:rsidR="00FD20F4">
        <w:rPr>
          <w:bCs/>
          <w:szCs w:val="28"/>
        </w:rPr>
        <w:t xml:space="preserve"> оказание услуг </w:t>
      </w:r>
      <w:r w:rsidR="00C816A7" w:rsidRPr="00C816A7">
        <w:rPr>
          <w:bCs/>
          <w:szCs w:val="28"/>
        </w:rPr>
        <w:t xml:space="preserve">бизнес-аналитика в целях адаптации </w:t>
      </w:r>
      <w:proofErr w:type="spellStart"/>
      <w:r w:rsidR="00C816A7" w:rsidRPr="00C816A7">
        <w:rPr>
          <w:bCs/>
          <w:szCs w:val="28"/>
        </w:rPr>
        <w:t>многоплатформенной</w:t>
      </w:r>
      <w:proofErr w:type="spellEnd"/>
      <w:r w:rsidR="00C816A7" w:rsidRPr="00C816A7">
        <w:rPr>
          <w:bCs/>
          <w:szCs w:val="28"/>
        </w:rPr>
        <w:t xml:space="preserve"> базы 1С Управления Холдингом (в </w:t>
      </w:r>
      <w:proofErr w:type="spellStart"/>
      <w:r w:rsidR="00C816A7" w:rsidRPr="00C816A7">
        <w:rPr>
          <w:bCs/>
          <w:szCs w:val="28"/>
        </w:rPr>
        <w:t>т.ч</w:t>
      </w:r>
      <w:proofErr w:type="spellEnd"/>
      <w:r w:rsidR="00C816A7" w:rsidRPr="00C816A7">
        <w:rPr>
          <w:bCs/>
          <w:szCs w:val="28"/>
        </w:rPr>
        <w:t xml:space="preserve">. 1С ЗУП, не включая кадровый учёт) под бизнес-процессы </w:t>
      </w:r>
    </w:p>
    <w:p w:rsidR="006D7D15" w:rsidRPr="00DE6E5A" w:rsidRDefault="00C816A7" w:rsidP="000E228C">
      <w:pPr>
        <w:pStyle w:val="11"/>
        <w:ind w:firstLine="0"/>
        <w:jc w:val="center"/>
        <w:rPr>
          <w:rFonts w:eastAsia="MS Mincho"/>
          <w:szCs w:val="28"/>
        </w:rPr>
      </w:pPr>
      <w:r w:rsidRPr="00C816A7">
        <w:rPr>
          <w:bCs/>
          <w:szCs w:val="28"/>
        </w:rPr>
        <w:t>АО «</w:t>
      </w:r>
      <w:proofErr w:type="spellStart"/>
      <w:r w:rsidRPr="00C816A7">
        <w:rPr>
          <w:bCs/>
          <w:szCs w:val="28"/>
        </w:rPr>
        <w:t>Рефсервис</w:t>
      </w:r>
      <w:proofErr w:type="spellEnd"/>
      <w:r w:rsidRPr="00C816A7">
        <w:rPr>
          <w:bCs/>
          <w:szCs w:val="28"/>
        </w:rPr>
        <w:t>»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</w:t>
            </w:r>
            <w:proofErr w:type="spellStart"/>
            <w:r w:rsidR="0036644F" w:rsidRPr="0036644F">
              <w:rPr>
                <w:bCs/>
                <w:sz w:val="28"/>
                <w:szCs w:val="28"/>
              </w:rPr>
              <w:t>Рефсервис</w:t>
            </w:r>
            <w:proofErr w:type="spellEnd"/>
            <w:r w:rsidR="0036644F" w:rsidRPr="0036644F">
              <w:rPr>
                <w:bCs/>
                <w:sz w:val="28"/>
                <w:szCs w:val="28"/>
              </w:rPr>
              <w:t>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C816A7">
              <w:rPr>
                <w:b/>
                <w:bCs/>
                <w:sz w:val="28"/>
                <w:szCs w:val="28"/>
              </w:rPr>
              <w:t>09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C816A7">
              <w:rPr>
                <w:b/>
                <w:bCs/>
                <w:sz w:val="28"/>
                <w:szCs w:val="28"/>
              </w:rPr>
              <w:t>декабря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852EF2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C816A7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C816A7">
              <w:rPr>
                <w:sz w:val="28"/>
                <w:szCs w:val="28"/>
              </w:rPr>
              <w:t>149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="003551C0">
              <w:rPr>
                <w:sz w:val="28"/>
                <w:szCs w:val="28"/>
              </w:rPr>
              <w:t>»</w:t>
            </w:r>
            <w:bookmarkStart w:id="1" w:name="_GoBack"/>
            <w:bookmarkEnd w:id="1"/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C816A7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C816A7">
              <w:rPr>
                <w:bCs/>
                <w:sz w:val="28"/>
                <w:szCs w:val="28"/>
              </w:rPr>
              <w:t>149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FD20F4" w:rsidP="00C816A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Оказание услуг </w:t>
            </w:r>
            <w:r w:rsidR="00C816A7" w:rsidRPr="001838EE">
              <w:rPr>
                <w:sz w:val="28"/>
                <w:szCs w:val="28"/>
              </w:rPr>
              <w:t xml:space="preserve">бизнес-аналитика в целях адаптации </w:t>
            </w:r>
            <w:proofErr w:type="spellStart"/>
            <w:r w:rsidR="00C816A7" w:rsidRPr="001838EE">
              <w:rPr>
                <w:sz w:val="28"/>
                <w:szCs w:val="28"/>
              </w:rPr>
              <w:t>многоплатформенной</w:t>
            </w:r>
            <w:proofErr w:type="spellEnd"/>
            <w:r w:rsidR="00C816A7" w:rsidRPr="001838EE">
              <w:rPr>
                <w:sz w:val="28"/>
                <w:szCs w:val="28"/>
              </w:rPr>
              <w:t xml:space="preserve"> базы 1С Управления Холдингом (в </w:t>
            </w:r>
            <w:proofErr w:type="spellStart"/>
            <w:r w:rsidR="00C816A7" w:rsidRPr="001838EE">
              <w:rPr>
                <w:sz w:val="28"/>
                <w:szCs w:val="28"/>
              </w:rPr>
              <w:t>т.ч</w:t>
            </w:r>
            <w:proofErr w:type="spellEnd"/>
            <w:r w:rsidR="00C816A7" w:rsidRPr="001838EE">
              <w:rPr>
                <w:sz w:val="28"/>
                <w:szCs w:val="28"/>
              </w:rPr>
              <w:t>. 1С ЗУП, не включая кадровый учёт) под</w:t>
            </w:r>
            <w:r w:rsidR="00C816A7">
              <w:rPr>
                <w:sz w:val="28"/>
                <w:szCs w:val="28"/>
              </w:rPr>
              <w:t xml:space="preserve"> бизнес-процессы АО «</w:t>
            </w:r>
            <w:proofErr w:type="spellStart"/>
            <w:r w:rsidR="00C816A7">
              <w:rPr>
                <w:sz w:val="28"/>
                <w:szCs w:val="28"/>
              </w:rPr>
              <w:t>Рефсервис</w:t>
            </w:r>
            <w:proofErr w:type="spellEnd"/>
            <w:r w:rsidR="00C816A7">
              <w:rPr>
                <w:sz w:val="28"/>
                <w:szCs w:val="28"/>
              </w:rPr>
              <w:t>»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 xml:space="preserve">ул. Верхняя </w:t>
            </w:r>
            <w:proofErr w:type="spellStart"/>
            <w:r w:rsidR="001E0879" w:rsidRPr="001E0879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E0879" w:rsidRPr="001E0879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744770">
              <w:rPr>
                <w:bCs/>
                <w:sz w:val="28"/>
                <w:szCs w:val="28"/>
              </w:rPr>
              <w:t xml:space="preserve">более </w:t>
            </w:r>
            <w:r w:rsidR="00852EF2" w:rsidRPr="00852EF2">
              <w:rPr>
                <w:bCs/>
                <w:sz w:val="28"/>
                <w:szCs w:val="28"/>
              </w:rPr>
              <w:t xml:space="preserve">3 </w:t>
            </w:r>
            <w:r w:rsidR="00367F0E">
              <w:rPr>
                <w:bCs/>
                <w:sz w:val="28"/>
                <w:szCs w:val="28"/>
              </w:rPr>
              <w:t>600</w:t>
            </w:r>
            <w:r w:rsidR="00852EF2" w:rsidRPr="00852EF2">
              <w:rPr>
                <w:bCs/>
                <w:sz w:val="28"/>
                <w:szCs w:val="28"/>
              </w:rPr>
              <w:t xml:space="preserve"> 000 (Три миллиона </w:t>
            </w:r>
            <w:r w:rsidR="00367F0E">
              <w:rPr>
                <w:bCs/>
                <w:sz w:val="28"/>
                <w:szCs w:val="28"/>
              </w:rPr>
              <w:t xml:space="preserve">шестьсот </w:t>
            </w:r>
            <w:r w:rsidR="00852EF2" w:rsidRPr="00852EF2">
              <w:rPr>
                <w:bCs/>
                <w:sz w:val="28"/>
                <w:szCs w:val="28"/>
              </w:rPr>
              <w:t>тысяч) рублей 00 копеек без учёта НДС.</w:t>
            </w:r>
          </w:p>
          <w:p w:rsidR="006D7D15" w:rsidRPr="00DE6E5A" w:rsidRDefault="00852EF2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852EF2">
              <w:rPr>
                <w:bCs/>
                <w:sz w:val="28"/>
                <w:szCs w:val="28"/>
              </w:rPr>
              <w:t>Начальная (максимальная) цена включает в себя все затраты, издержки и иные расходы Исполнителя, необходимые для оказания услуг, а также сопутствующие расходы, связанные с исполнением Договора.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C816A7">
              <w:rPr>
                <w:b/>
                <w:bCs/>
                <w:sz w:val="28"/>
                <w:szCs w:val="28"/>
              </w:rPr>
              <w:t>09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C816A7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230C3F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C816A7">
              <w:rPr>
                <w:b/>
                <w:bCs/>
                <w:sz w:val="28"/>
                <w:szCs w:val="28"/>
              </w:rPr>
              <w:t>13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816A7">
              <w:rPr>
                <w:b/>
                <w:bCs/>
                <w:sz w:val="28"/>
                <w:szCs w:val="28"/>
              </w:rPr>
              <w:t>декабря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230C3F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C816A7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C816A7">
              <w:rPr>
                <w:bCs/>
                <w:sz w:val="28"/>
                <w:szCs w:val="28"/>
              </w:rPr>
              <w:t>149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6F1872" w:rsidRPr="00DE6E5A">
              <w:rPr>
                <w:bCs/>
                <w:sz w:val="28"/>
                <w:szCs w:val="28"/>
              </w:rPr>
              <w:t xml:space="preserve">на </w:t>
            </w:r>
            <w:r w:rsidR="0036644F" w:rsidRPr="0036644F">
              <w:rPr>
                <w:bCs/>
                <w:sz w:val="28"/>
                <w:szCs w:val="28"/>
              </w:rPr>
              <w:t>электронн</w:t>
            </w:r>
            <w:r w:rsidR="00AA3E14">
              <w:rPr>
                <w:bCs/>
                <w:sz w:val="28"/>
                <w:szCs w:val="28"/>
              </w:rPr>
              <w:t>ый</w:t>
            </w:r>
            <w:r w:rsidR="0036644F" w:rsidRPr="0036644F">
              <w:rPr>
                <w:bCs/>
                <w:sz w:val="28"/>
                <w:szCs w:val="28"/>
              </w:rPr>
              <w:t xml:space="preserve"> </w:t>
            </w:r>
            <w:r w:rsidR="00AA3E14">
              <w:rPr>
                <w:bCs/>
                <w:sz w:val="28"/>
                <w:szCs w:val="28"/>
              </w:rPr>
              <w:t>адрес</w:t>
            </w:r>
            <w:r w:rsidR="0036644F">
              <w:rPr>
                <w:bCs/>
                <w:sz w:val="28"/>
                <w:szCs w:val="28"/>
              </w:rPr>
              <w:t xml:space="preserve"> </w:t>
            </w:r>
            <w:r w:rsidR="0036644F" w:rsidRPr="001E0879">
              <w:rPr>
                <w:b/>
                <w:bCs/>
                <w:sz w:val="28"/>
                <w:szCs w:val="28"/>
              </w:rPr>
              <w:t>y.arsenova@refservice.ru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C816A7">
              <w:rPr>
                <w:b/>
                <w:bCs/>
                <w:sz w:val="28"/>
                <w:szCs w:val="28"/>
              </w:rPr>
              <w:t>13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C816A7">
              <w:rPr>
                <w:b/>
                <w:bCs/>
                <w:sz w:val="28"/>
                <w:szCs w:val="28"/>
              </w:rPr>
              <w:t>декабря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230C3F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C816A7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C816A7">
              <w:rPr>
                <w:b/>
                <w:bCs/>
                <w:sz w:val="28"/>
                <w:szCs w:val="28"/>
              </w:rPr>
              <w:t>13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C816A7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230C3F">
              <w:rPr>
                <w:b/>
                <w:bCs/>
                <w:sz w:val="28"/>
                <w:szCs w:val="28"/>
              </w:rPr>
              <w:t>4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r w:rsidR="00C81EFE" w:rsidRPr="00241C44">
              <w:rPr>
                <w:rFonts w:eastAsia="MS Mincho"/>
                <w:sz w:val="28"/>
                <w:szCs w:val="28"/>
              </w:rPr>
              <w:t>в электронной</w:t>
            </w:r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51C0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2678B"/>
    <w:rsid w:val="00036B21"/>
    <w:rsid w:val="0005577A"/>
    <w:rsid w:val="000735BB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0C3F"/>
    <w:rsid w:val="00232172"/>
    <w:rsid w:val="002336C7"/>
    <w:rsid w:val="00241C44"/>
    <w:rsid w:val="002631AC"/>
    <w:rsid w:val="002A2F1B"/>
    <w:rsid w:val="002A7402"/>
    <w:rsid w:val="00333863"/>
    <w:rsid w:val="003551C0"/>
    <w:rsid w:val="0035763D"/>
    <w:rsid w:val="0036644F"/>
    <w:rsid w:val="00367F0E"/>
    <w:rsid w:val="0038075B"/>
    <w:rsid w:val="003B4FA3"/>
    <w:rsid w:val="003C1D3C"/>
    <w:rsid w:val="003D2189"/>
    <w:rsid w:val="003D7635"/>
    <w:rsid w:val="003E4729"/>
    <w:rsid w:val="004212E5"/>
    <w:rsid w:val="00447A76"/>
    <w:rsid w:val="004752B5"/>
    <w:rsid w:val="004C0613"/>
    <w:rsid w:val="004C1EA2"/>
    <w:rsid w:val="00515B16"/>
    <w:rsid w:val="005607B6"/>
    <w:rsid w:val="00572F8B"/>
    <w:rsid w:val="00580F27"/>
    <w:rsid w:val="005A22FE"/>
    <w:rsid w:val="005A33A2"/>
    <w:rsid w:val="005B155B"/>
    <w:rsid w:val="005B2EBD"/>
    <w:rsid w:val="005B7F5B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F338A"/>
    <w:rsid w:val="008247B4"/>
    <w:rsid w:val="00843653"/>
    <w:rsid w:val="008445F7"/>
    <w:rsid w:val="00852EF2"/>
    <w:rsid w:val="00871F95"/>
    <w:rsid w:val="00875B42"/>
    <w:rsid w:val="00891C1C"/>
    <w:rsid w:val="00894B4D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2772E"/>
    <w:rsid w:val="00A81A05"/>
    <w:rsid w:val="00AA136F"/>
    <w:rsid w:val="00AA326E"/>
    <w:rsid w:val="00AA3E14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816A7"/>
    <w:rsid w:val="00C81EFE"/>
    <w:rsid w:val="00C948BD"/>
    <w:rsid w:val="00CD0671"/>
    <w:rsid w:val="00D275AA"/>
    <w:rsid w:val="00D6498B"/>
    <w:rsid w:val="00DA0B12"/>
    <w:rsid w:val="00DE6E5A"/>
    <w:rsid w:val="00E37E1E"/>
    <w:rsid w:val="00EB59E4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  <w:rsid w:val="00FD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EF202-2EB4-4D39-81F9-A80763B8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Скобликова Марина Сергеевна</cp:lastModifiedBy>
  <cp:revision>11</cp:revision>
  <cp:lastPrinted>2024-06-21T10:05:00Z</cp:lastPrinted>
  <dcterms:created xsi:type="dcterms:W3CDTF">2024-06-21T10:05:00Z</dcterms:created>
  <dcterms:modified xsi:type="dcterms:W3CDTF">2024-12-09T07:40:00Z</dcterms:modified>
</cp:coreProperties>
</file>