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bookmarkStart w:id="0" w:name="_Toc515863120"/>
      <w:r w:rsidRPr="00DE6E5A">
        <w:rPr>
          <w:bCs/>
          <w:sz w:val="28"/>
          <w:szCs w:val="28"/>
        </w:rPr>
        <w:t xml:space="preserve">УТВЕРЖДАЮ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Default="001C4325" w:rsidP="009416A7">
      <w:pPr>
        <w:ind w:left="4962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9416A7" w:rsidRPr="00DE6E5A">
        <w:rPr>
          <w:bCs/>
          <w:sz w:val="28"/>
          <w:szCs w:val="28"/>
        </w:rPr>
        <w:t>редседател</w:t>
      </w:r>
      <w:r>
        <w:rPr>
          <w:bCs/>
          <w:sz w:val="28"/>
          <w:szCs w:val="28"/>
        </w:rPr>
        <w:t>ь</w:t>
      </w:r>
      <w:r w:rsidR="00993F02">
        <w:rPr>
          <w:bCs/>
          <w:sz w:val="28"/>
          <w:szCs w:val="28"/>
        </w:rPr>
        <w:t xml:space="preserve"> конкурсной</w:t>
      </w:r>
      <w:r w:rsidR="009416A7" w:rsidRPr="00DE6E5A">
        <w:rPr>
          <w:bCs/>
          <w:sz w:val="28"/>
          <w:szCs w:val="28"/>
        </w:rPr>
        <w:t xml:space="preserve"> комиссии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AA326E" w:rsidP="009416A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1C4325">
        <w:rPr>
          <w:sz w:val="28"/>
          <w:szCs w:val="28"/>
        </w:rPr>
        <w:t>О</w:t>
      </w:r>
      <w:r w:rsidR="00E05BB3">
        <w:rPr>
          <w:sz w:val="28"/>
          <w:szCs w:val="28"/>
        </w:rPr>
        <w:t>.</w:t>
      </w:r>
      <w:r w:rsidR="001C4325">
        <w:rPr>
          <w:sz w:val="28"/>
          <w:szCs w:val="28"/>
        </w:rPr>
        <w:t>А. Богомолов</w:t>
      </w:r>
    </w:p>
    <w:p w:rsidR="00FB0214" w:rsidRDefault="000735BB" w:rsidP="009416A7">
      <w:pPr>
        <w:pStyle w:val="11"/>
        <w:ind w:left="4962"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</w:t>
      </w:r>
    </w:p>
    <w:p w:rsidR="009416A7" w:rsidRPr="00DE6E5A" w:rsidRDefault="000735BB" w:rsidP="00FB0214">
      <w:pPr>
        <w:pStyle w:val="11"/>
        <w:ind w:left="7086" w:firstLine="0"/>
        <w:jc w:val="center"/>
        <w:rPr>
          <w:rFonts w:eastAsia="MS Mincho"/>
          <w:b/>
          <w:szCs w:val="28"/>
        </w:rPr>
      </w:pPr>
      <w:r>
        <w:rPr>
          <w:bCs/>
          <w:szCs w:val="28"/>
        </w:rPr>
        <w:t xml:space="preserve">    </w:t>
      </w:r>
      <w:r w:rsidR="009416A7" w:rsidRPr="00DE6E5A">
        <w:rPr>
          <w:bCs/>
          <w:szCs w:val="28"/>
        </w:rPr>
        <w:t>«</w:t>
      </w:r>
      <w:r w:rsidR="00F03DFC">
        <w:rPr>
          <w:bCs/>
          <w:szCs w:val="28"/>
        </w:rPr>
        <w:t>25</w:t>
      </w:r>
      <w:r w:rsidR="005C6C2F">
        <w:rPr>
          <w:bCs/>
          <w:szCs w:val="28"/>
        </w:rPr>
        <w:t>»</w:t>
      </w:r>
      <w:r w:rsidR="003B0931" w:rsidRPr="0059646C">
        <w:rPr>
          <w:bCs/>
          <w:szCs w:val="28"/>
        </w:rPr>
        <w:t xml:space="preserve"> декабря </w:t>
      </w:r>
      <w:r w:rsidR="009416A7" w:rsidRPr="00DE6E5A">
        <w:rPr>
          <w:bCs/>
          <w:szCs w:val="28"/>
        </w:rPr>
        <w:t>20</w:t>
      </w:r>
      <w:r w:rsidR="005C6C2F">
        <w:rPr>
          <w:bCs/>
          <w:szCs w:val="28"/>
        </w:rPr>
        <w:t>2</w:t>
      </w:r>
      <w:r w:rsidR="008A4AE0">
        <w:rPr>
          <w:bCs/>
          <w:szCs w:val="28"/>
        </w:rPr>
        <w:t>4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г.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DE6E5A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6D7D15" w:rsidRPr="00DE6E5A" w:rsidRDefault="000735BB" w:rsidP="002848C8">
      <w:pPr>
        <w:pStyle w:val="11"/>
        <w:ind w:left="-142" w:firstLine="142"/>
        <w:jc w:val="center"/>
        <w:rPr>
          <w:rFonts w:eastAsia="MS Mincho"/>
          <w:szCs w:val="28"/>
        </w:rPr>
      </w:pPr>
      <w:r w:rsidRPr="003C1D3C">
        <w:rPr>
          <w:rFonts w:eastAsia="MS Mincho"/>
          <w:szCs w:val="28"/>
        </w:rPr>
        <w:t>Запрос</w:t>
      </w:r>
      <w:r w:rsidR="00B337D9">
        <w:rPr>
          <w:rFonts w:eastAsia="MS Mincho"/>
          <w:szCs w:val="28"/>
        </w:rPr>
        <w:t>а</w:t>
      </w:r>
      <w:r w:rsidRPr="003C1D3C">
        <w:rPr>
          <w:rFonts w:eastAsia="MS Mincho"/>
          <w:szCs w:val="28"/>
        </w:rPr>
        <w:t xml:space="preserve"> котировок в электронной форме</w:t>
      </w:r>
      <w:r w:rsidR="00A81A05" w:rsidRPr="003C1D3C">
        <w:rPr>
          <w:bCs/>
          <w:szCs w:val="28"/>
        </w:rPr>
        <w:t xml:space="preserve"> </w:t>
      </w:r>
      <w:r w:rsidR="00A81A05" w:rsidRPr="00572F8B">
        <w:rPr>
          <w:bCs/>
          <w:szCs w:val="28"/>
        </w:rPr>
        <w:t>№</w:t>
      </w:r>
      <w:r w:rsidR="000E228C" w:rsidRPr="00572F8B">
        <w:rPr>
          <w:bCs/>
          <w:szCs w:val="28"/>
        </w:rPr>
        <w:t xml:space="preserve"> РУЗ</w:t>
      </w:r>
      <w:r w:rsidR="002A2F1B" w:rsidRPr="00572F8B">
        <w:rPr>
          <w:bCs/>
          <w:szCs w:val="28"/>
        </w:rPr>
        <w:t>-4/</w:t>
      </w:r>
      <w:r w:rsidR="00F03DFC">
        <w:rPr>
          <w:bCs/>
          <w:szCs w:val="28"/>
        </w:rPr>
        <w:t>181-2</w:t>
      </w:r>
      <w:r w:rsidR="00923EBF">
        <w:rPr>
          <w:bCs/>
          <w:szCs w:val="28"/>
        </w:rPr>
        <w:t xml:space="preserve"> </w:t>
      </w:r>
      <w:r w:rsidR="00F03DFC" w:rsidRPr="00F03DFC">
        <w:rPr>
          <w:bCs/>
          <w:szCs w:val="28"/>
        </w:rPr>
        <w:t>на</w:t>
      </w:r>
      <w:r w:rsidR="00F03DFC">
        <w:rPr>
          <w:bCs/>
          <w:szCs w:val="28"/>
        </w:rPr>
        <w:t xml:space="preserve"> заключение договора на</w:t>
      </w:r>
      <w:r w:rsidR="00F03DFC" w:rsidRPr="00F03DFC">
        <w:rPr>
          <w:bCs/>
          <w:szCs w:val="28"/>
        </w:rPr>
        <w:t xml:space="preserve"> услуги по техническому обслуживанию (диагностика и ремонт) оргтехники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 xml:space="preserve">на сайте </w:t>
            </w:r>
            <w:r w:rsidR="0036644F">
              <w:rPr>
                <w:bCs/>
                <w:sz w:val="28"/>
                <w:szCs w:val="28"/>
              </w:rPr>
              <w:t xml:space="preserve">                                  </w:t>
            </w:r>
            <w:r w:rsidR="0036644F" w:rsidRPr="0036644F">
              <w:rPr>
                <w:bCs/>
                <w:sz w:val="28"/>
                <w:szCs w:val="28"/>
              </w:rPr>
              <w:t>АО «Рефсервис»</w:t>
            </w:r>
            <w:r w:rsidR="00175AB3" w:rsidRPr="00E37E1E">
              <w:rPr>
                <w:bCs/>
                <w:sz w:val="28"/>
                <w:szCs w:val="28"/>
              </w:rPr>
              <w:t xml:space="preserve">, </w:t>
            </w:r>
            <w:hyperlink r:id="rId8" w:history="1">
              <w:r w:rsidR="0036644F" w:rsidRPr="00A62C9F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  <w:r w:rsidR="0036644F">
              <w:rPr>
                <w:rStyle w:val="af3"/>
                <w:bCs/>
                <w:sz w:val="28"/>
                <w:szCs w:val="28"/>
              </w:rPr>
              <w:t xml:space="preserve">              </w:t>
            </w:r>
            <w:proofErr w:type="gramStart"/>
            <w:r w:rsidR="0036644F">
              <w:rPr>
                <w:rStyle w:val="af3"/>
                <w:bCs/>
                <w:sz w:val="28"/>
                <w:szCs w:val="28"/>
              </w:rPr>
              <w:t xml:space="preserve">  </w:t>
            </w:r>
            <w:r w:rsidR="00E37E1E" w:rsidRPr="00694B22">
              <w:rPr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F03DFC">
              <w:rPr>
                <w:b/>
                <w:bCs/>
                <w:sz w:val="28"/>
                <w:szCs w:val="28"/>
              </w:rPr>
              <w:t>25</w:t>
            </w:r>
            <w:r w:rsidR="00E37E1E" w:rsidRPr="00694B22">
              <w:rPr>
                <w:b/>
                <w:bCs/>
                <w:sz w:val="28"/>
                <w:szCs w:val="28"/>
              </w:rPr>
              <w:t>»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3B0931">
              <w:rPr>
                <w:b/>
                <w:bCs/>
                <w:sz w:val="28"/>
                <w:szCs w:val="28"/>
              </w:rPr>
              <w:t>декабря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E37E1E" w:rsidRPr="00694B22">
              <w:rPr>
                <w:b/>
                <w:bCs/>
                <w:sz w:val="28"/>
                <w:szCs w:val="28"/>
              </w:rPr>
              <w:t xml:space="preserve"> года</w:t>
            </w:r>
            <w:r w:rsidR="00E37E1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F03DFC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>в электронной форме №</w:t>
            </w:r>
            <w:r w:rsidR="005C6C2F" w:rsidRPr="00572F8B">
              <w:t xml:space="preserve"> </w:t>
            </w:r>
            <w:r w:rsidR="005A33A2">
              <w:rPr>
                <w:sz w:val="28"/>
                <w:szCs w:val="28"/>
              </w:rPr>
              <w:t>РУЗ-4/</w:t>
            </w:r>
            <w:r w:rsidR="00DB58B6">
              <w:rPr>
                <w:sz w:val="28"/>
                <w:szCs w:val="28"/>
              </w:rPr>
              <w:t>1</w:t>
            </w:r>
            <w:r w:rsidR="00F03DFC">
              <w:rPr>
                <w:sz w:val="28"/>
                <w:szCs w:val="28"/>
              </w:rPr>
              <w:t>81-2</w:t>
            </w:r>
            <w:r w:rsidR="005C6C2F" w:rsidRPr="00572F8B">
              <w:rPr>
                <w:sz w:val="28"/>
                <w:szCs w:val="28"/>
              </w:rPr>
              <w:t xml:space="preserve"> </w:t>
            </w:r>
            <w:r w:rsidRPr="00DE6E5A">
              <w:rPr>
                <w:sz w:val="28"/>
                <w:szCs w:val="28"/>
              </w:rPr>
              <w:t>размещены в разделе «</w:t>
            </w:r>
            <w:r w:rsidR="0036644F">
              <w:rPr>
                <w:sz w:val="28"/>
                <w:szCs w:val="28"/>
              </w:rPr>
              <w:t>Тендеры</w:t>
            </w:r>
            <w:r w:rsidRPr="00DE6E5A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F03DF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572F8B">
              <w:rPr>
                <w:bCs/>
                <w:sz w:val="28"/>
                <w:szCs w:val="28"/>
              </w:rPr>
              <w:t>№</w:t>
            </w:r>
            <w:r w:rsidR="00932B85" w:rsidRPr="00572F8B">
              <w:t xml:space="preserve"> </w:t>
            </w:r>
            <w:r w:rsidR="002A2F1B" w:rsidRPr="00572F8B">
              <w:rPr>
                <w:bCs/>
                <w:sz w:val="28"/>
                <w:szCs w:val="28"/>
              </w:rPr>
              <w:t>РУЗ-4/</w:t>
            </w:r>
            <w:r w:rsidR="00DB58B6">
              <w:rPr>
                <w:bCs/>
                <w:sz w:val="28"/>
                <w:szCs w:val="28"/>
              </w:rPr>
              <w:t>1</w:t>
            </w:r>
            <w:r w:rsidR="00F03DFC">
              <w:rPr>
                <w:bCs/>
                <w:sz w:val="28"/>
                <w:szCs w:val="28"/>
              </w:rPr>
              <w:t>81-2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36644F" w:rsidP="0036644F">
            <w:pPr>
              <w:jc w:val="both"/>
              <w:rPr>
                <w:bCs/>
                <w:i/>
                <w:sz w:val="28"/>
                <w:szCs w:val="28"/>
              </w:rPr>
            </w:pPr>
            <w:r w:rsidRPr="0036644F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9" w:history="1">
              <w:r w:rsidRPr="00A62C9F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36644F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г. Москва, ул. </w:t>
            </w:r>
            <w:r w:rsidR="001E0879">
              <w:rPr>
                <w:bCs/>
                <w:sz w:val="28"/>
                <w:szCs w:val="28"/>
              </w:rPr>
              <w:t>Верхняя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</w:t>
            </w:r>
            <w:r w:rsidR="001E0879">
              <w:rPr>
                <w:bCs/>
                <w:sz w:val="28"/>
                <w:szCs w:val="28"/>
              </w:rPr>
              <w:t>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ул. Нижняя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д.40/12 корп. 20,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</w:t>
            </w:r>
            <w:r w:rsidR="001E0879">
              <w:rPr>
                <w:bCs/>
                <w:sz w:val="28"/>
                <w:szCs w:val="28"/>
              </w:rPr>
              <w:t xml:space="preserve">елефона: +7 (499) 262-95-15 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</w:t>
            </w:r>
            <w:proofErr w:type="gramStart"/>
            <w:r w:rsidRPr="003C1D3C">
              <w:rPr>
                <w:bCs/>
                <w:sz w:val="28"/>
                <w:szCs w:val="28"/>
              </w:rPr>
              <w:t xml:space="preserve">лицо:   </w:t>
            </w:r>
            <w:proofErr w:type="gramEnd"/>
            <w:r w:rsidRPr="003C1D3C">
              <w:rPr>
                <w:bCs/>
                <w:sz w:val="28"/>
                <w:szCs w:val="28"/>
              </w:rPr>
              <w:t xml:space="preserve">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1E0879">
              <w:rPr>
                <w:bCs/>
                <w:sz w:val="28"/>
                <w:szCs w:val="28"/>
              </w:rPr>
              <w:t>отдела</w:t>
            </w:r>
            <w:r w:rsidRPr="003C1D3C">
              <w:rPr>
                <w:bCs/>
                <w:sz w:val="28"/>
                <w:szCs w:val="28"/>
              </w:rPr>
              <w:t xml:space="preserve"> управления запасами</w:t>
            </w:r>
          </w:p>
          <w:p w:rsidR="006D7D15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и закупками технического управления</w:t>
            </w:r>
          </w:p>
          <w:p w:rsidR="003C1D3C" w:rsidRPr="00DE6E5A" w:rsidRDefault="003C1D3C" w:rsidP="003C1D3C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Арсёнова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Pr="003C1D3C">
              <w:rPr>
                <w:bCs/>
                <w:sz w:val="28"/>
                <w:szCs w:val="28"/>
              </w:rPr>
              <w:t xml:space="preserve"> не предусмотрено.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5560C" w:rsidRDefault="008445F7" w:rsidP="00F03DF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C53F7C" w:rsidRPr="00C53F7C">
              <w:rPr>
                <w:bCs/>
                <w:sz w:val="28"/>
                <w:szCs w:val="28"/>
              </w:rPr>
              <w:t>казание</w:t>
            </w:r>
            <w:r w:rsidR="002848C8" w:rsidRPr="002848C8">
              <w:rPr>
                <w:bCs/>
                <w:sz w:val="28"/>
                <w:szCs w:val="28"/>
              </w:rPr>
              <w:t xml:space="preserve"> услуг </w:t>
            </w:r>
            <w:r w:rsidR="00F03DFC">
              <w:rPr>
                <w:bCs/>
                <w:sz w:val="28"/>
                <w:szCs w:val="28"/>
              </w:rPr>
              <w:t>на техническое обслуживание</w:t>
            </w:r>
            <w:r w:rsidR="00F03DFC" w:rsidRPr="00F03DFC">
              <w:rPr>
                <w:bCs/>
                <w:sz w:val="28"/>
                <w:szCs w:val="28"/>
              </w:rPr>
              <w:t xml:space="preserve"> (диагностика и ремонт) оргтехники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36644F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Место </w:t>
            </w:r>
            <w:r w:rsidR="00C53F7C">
              <w:rPr>
                <w:bCs/>
                <w:sz w:val="28"/>
                <w:szCs w:val="28"/>
              </w:rPr>
              <w:t>оказания услуг</w:t>
            </w:r>
          </w:p>
        </w:tc>
        <w:tc>
          <w:tcPr>
            <w:tcW w:w="6119" w:type="dxa"/>
          </w:tcPr>
          <w:p w:rsidR="006D7D15" w:rsidRPr="00DE6E5A" w:rsidRDefault="00C53F7C" w:rsidP="001374BD">
            <w:pPr>
              <w:jc w:val="both"/>
              <w:rPr>
                <w:b/>
                <w:bCs/>
                <w:sz w:val="28"/>
                <w:szCs w:val="28"/>
              </w:rPr>
            </w:pPr>
            <w:r w:rsidRPr="00C53F7C">
              <w:rPr>
                <w:bCs/>
                <w:sz w:val="28"/>
                <w:szCs w:val="28"/>
              </w:rPr>
              <w:t xml:space="preserve">г. Москва, </w:t>
            </w:r>
            <w:r w:rsidR="001E0879" w:rsidRPr="001E0879">
              <w:rPr>
                <w:bCs/>
                <w:sz w:val="28"/>
                <w:szCs w:val="28"/>
              </w:rPr>
              <w:t xml:space="preserve">ул. Верхняя </w:t>
            </w:r>
            <w:proofErr w:type="spellStart"/>
            <w:r w:rsidR="001E0879" w:rsidRPr="001E0879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="001E0879" w:rsidRPr="001E0879">
              <w:rPr>
                <w:bCs/>
                <w:sz w:val="28"/>
                <w:szCs w:val="28"/>
              </w:rPr>
              <w:t xml:space="preserve">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B4A26" w:rsidRDefault="00EE2B58" w:rsidP="00FB4A26">
            <w:pPr>
              <w:jc w:val="both"/>
              <w:rPr>
                <w:bCs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8445F7" w:rsidRPr="008445F7">
              <w:rPr>
                <w:bCs/>
                <w:sz w:val="28"/>
                <w:szCs w:val="28"/>
              </w:rPr>
              <w:t xml:space="preserve">не </w:t>
            </w:r>
            <w:r w:rsidR="00412E35">
              <w:rPr>
                <w:bCs/>
                <w:sz w:val="28"/>
                <w:szCs w:val="28"/>
              </w:rPr>
              <w:t xml:space="preserve">более </w:t>
            </w:r>
            <w:r w:rsidR="00F03DFC" w:rsidRPr="00F03DFC">
              <w:rPr>
                <w:sz w:val="28"/>
                <w:szCs w:val="28"/>
              </w:rPr>
              <w:t>1 080 399 (Один миллион восемьдесят тысяч триста девяносто девять) рублей 96 копеек без учёта НДС</w:t>
            </w:r>
            <w:r w:rsidR="00FB4A26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C03C60" w:rsidP="00C53F7C">
            <w:pPr>
              <w:jc w:val="both"/>
              <w:rPr>
                <w:bCs/>
                <w:i/>
                <w:sz w:val="28"/>
                <w:szCs w:val="28"/>
              </w:rPr>
            </w:pPr>
            <w:r w:rsidRPr="00C03C60">
              <w:rPr>
                <w:bCs/>
                <w:sz w:val="28"/>
                <w:szCs w:val="28"/>
              </w:rPr>
              <w:t xml:space="preserve">Начальная (максимальная) цена сформирована с учётом всех возможных расходов участника, так или иначе связанных с </w:t>
            </w:r>
            <w:r w:rsidR="00C53F7C">
              <w:rPr>
                <w:bCs/>
                <w:sz w:val="28"/>
                <w:szCs w:val="28"/>
              </w:rPr>
              <w:t>оказанием услуг</w:t>
            </w:r>
            <w:r w:rsidRPr="00C03C60">
              <w:rPr>
                <w:bCs/>
                <w:sz w:val="28"/>
                <w:szCs w:val="28"/>
              </w:rPr>
              <w:t>, а также всех предусмотренных законодательством</w:t>
            </w:r>
            <w:r w:rsidR="00875B42">
              <w:rPr>
                <w:bCs/>
                <w:sz w:val="28"/>
                <w:szCs w:val="28"/>
              </w:rPr>
              <w:t xml:space="preserve"> </w:t>
            </w:r>
            <w:r w:rsidRPr="00C03C60">
              <w:rPr>
                <w:bCs/>
                <w:sz w:val="28"/>
                <w:szCs w:val="28"/>
              </w:rPr>
              <w:t>Российской Федерации налогов, сборов и иных обязательных платежей.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«</w:t>
            </w:r>
            <w:r w:rsidR="00F03DFC">
              <w:rPr>
                <w:b/>
                <w:bCs/>
                <w:sz w:val="28"/>
                <w:szCs w:val="28"/>
              </w:rPr>
              <w:t>25</w:t>
            </w:r>
            <w:r w:rsidR="00C03C60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3B0931">
              <w:rPr>
                <w:b/>
                <w:bCs/>
                <w:sz w:val="28"/>
                <w:szCs w:val="28"/>
              </w:rPr>
              <w:t>декабря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923EBF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Дата </w:t>
            </w:r>
            <w:r w:rsidR="002A7402" w:rsidRPr="00DE6E5A">
              <w:rPr>
                <w:bCs/>
                <w:sz w:val="28"/>
                <w:szCs w:val="28"/>
              </w:rPr>
              <w:t xml:space="preserve">и </w:t>
            </w:r>
            <w:r w:rsidR="002A7402" w:rsidRPr="005C6C2F">
              <w:rPr>
                <w:bCs/>
                <w:sz w:val="28"/>
                <w:szCs w:val="28"/>
              </w:rPr>
              <w:t>время</w:t>
            </w:r>
            <w:r w:rsidR="00B03043" w:rsidRPr="005C6C2F">
              <w:rPr>
                <w:bCs/>
                <w:sz w:val="28"/>
                <w:szCs w:val="28"/>
              </w:rPr>
              <w:t xml:space="preserve"> </w:t>
            </w:r>
            <w:r w:rsidRPr="005C6C2F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9E5945">
              <w:rPr>
                <w:b/>
                <w:bCs/>
                <w:sz w:val="28"/>
                <w:szCs w:val="28"/>
              </w:rPr>
              <w:t>1</w:t>
            </w:r>
            <w:r w:rsidR="00AA62DD">
              <w:rPr>
                <w:b/>
                <w:bCs/>
                <w:sz w:val="28"/>
                <w:szCs w:val="28"/>
              </w:rPr>
              <w:t>4</w:t>
            </w:r>
            <w:r w:rsidR="00C03C60" w:rsidRPr="009E5945">
              <w:rPr>
                <w:b/>
                <w:bCs/>
                <w:sz w:val="28"/>
                <w:szCs w:val="28"/>
              </w:rPr>
              <w:t>:00</w:t>
            </w:r>
            <w:r w:rsidR="00C03C60" w:rsidRPr="009E594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по </w:t>
            </w:r>
            <w:proofErr w:type="spellStart"/>
            <w:r w:rsidR="00C03C60" w:rsidRPr="0062691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62691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3B4FA3" w:rsidRPr="00626915">
              <w:rPr>
                <w:b/>
                <w:bCs/>
                <w:sz w:val="28"/>
                <w:szCs w:val="28"/>
              </w:rPr>
              <w:t>«</w:t>
            </w:r>
            <w:r w:rsidR="00F03DFC">
              <w:rPr>
                <w:b/>
                <w:bCs/>
                <w:sz w:val="28"/>
                <w:szCs w:val="28"/>
              </w:rPr>
              <w:t>28</w:t>
            </w:r>
            <w:r w:rsidR="005C6C2F" w:rsidRPr="00626915">
              <w:rPr>
                <w:b/>
                <w:bCs/>
                <w:sz w:val="28"/>
                <w:szCs w:val="28"/>
              </w:rPr>
              <w:t>»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0B39E1">
              <w:rPr>
                <w:b/>
                <w:bCs/>
                <w:sz w:val="28"/>
                <w:szCs w:val="28"/>
              </w:rPr>
              <w:t>декабря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626915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703D16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F03DFC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№</w:t>
            </w:r>
            <w:r w:rsidR="005C6C2F">
              <w:t xml:space="preserve"> </w:t>
            </w:r>
            <w:r w:rsidR="0036644F">
              <w:rPr>
                <w:bCs/>
                <w:sz w:val="28"/>
                <w:szCs w:val="28"/>
              </w:rPr>
              <w:t>РУЗ-4/</w:t>
            </w:r>
            <w:r w:rsidR="00DB58B6">
              <w:rPr>
                <w:bCs/>
                <w:sz w:val="28"/>
                <w:szCs w:val="28"/>
              </w:rPr>
              <w:t>1</w:t>
            </w:r>
            <w:r w:rsidR="00F03DFC">
              <w:rPr>
                <w:bCs/>
                <w:sz w:val="28"/>
                <w:szCs w:val="28"/>
              </w:rPr>
              <w:t>81-2</w:t>
            </w:r>
            <w:r w:rsidR="00694B22" w:rsidRPr="00572F8B">
              <w:rPr>
                <w:bCs/>
                <w:sz w:val="28"/>
                <w:szCs w:val="28"/>
              </w:rPr>
              <w:t xml:space="preserve"> </w:t>
            </w:r>
            <w:r w:rsidRPr="00572F8B">
              <w:rPr>
                <w:bCs/>
                <w:sz w:val="28"/>
                <w:szCs w:val="28"/>
              </w:rPr>
              <w:t xml:space="preserve">подаются </w:t>
            </w:r>
            <w:r w:rsidR="006F1872" w:rsidRPr="00DE6E5A">
              <w:rPr>
                <w:bCs/>
                <w:sz w:val="28"/>
                <w:szCs w:val="28"/>
              </w:rPr>
              <w:t xml:space="preserve">на </w:t>
            </w:r>
            <w:r w:rsidR="0036644F" w:rsidRPr="0036644F">
              <w:rPr>
                <w:bCs/>
                <w:sz w:val="28"/>
                <w:szCs w:val="28"/>
              </w:rPr>
              <w:t>электронн</w:t>
            </w:r>
            <w:r w:rsidR="00AA3E14">
              <w:rPr>
                <w:bCs/>
                <w:sz w:val="28"/>
                <w:szCs w:val="28"/>
              </w:rPr>
              <w:t>ый</w:t>
            </w:r>
            <w:r w:rsidR="0036644F" w:rsidRPr="0036644F">
              <w:rPr>
                <w:bCs/>
                <w:sz w:val="28"/>
                <w:szCs w:val="28"/>
              </w:rPr>
              <w:t xml:space="preserve"> </w:t>
            </w:r>
            <w:r w:rsidR="00AA3E14">
              <w:rPr>
                <w:bCs/>
                <w:sz w:val="28"/>
                <w:szCs w:val="28"/>
              </w:rPr>
              <w:t>адрес</w:t>
            </w:r>
            <w:r w:rsidR="0036644F">
              <w:rPr>
                <w:bCs/>
                <w:sz w:val="28"/>
                <w:szCs w:val="28"/>
              </w:rPr>
              <w:t xml:space="preserve"> </w:t>
            </w:r>
            <w:r w:rsidR="0036644F" w:rsidRPr="001E0879">
              <w:rPr>
                <w:b/>
                <w:bCs/>
                <w:sz w:val="28"/>
                <w:szCs w:val="28"/>
              </w:rPr>
              <w:t>y.arsenova@refservice.ru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DE6E5A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C03C60" w:rsidRPr="009E5945">
              <w:rPr>
                <w:b/>
                <w:bCs/>
                <w:sz w:val="28"/>
                <w:szCs w:val="28"/>
              </w:rPr>
              <w:t>1</w:t>
            </w:r>
            <w:r w:rsidR="00AA62DD">
              <w:rPr>
                <w:b/>
                <w:bCs/>
                <w:sz w:val="28"/>
                <w:szCs w:val="28"/>
              </w:rPr>
              <w:t>4</w:t>
            </w:r>
            <w:bookmarkStart w:id="1" w:name="_GoBack"/>
            <w:bookmarkEnd w:id="1"/>
            <w:r w:rsidR="00C03C60" w:rsidRPr="009E5945">
              <w:rPr>
                <w:b/>
                <w:bCs/>
                <w:sz w:val="28"/>
                <w:szCs w:val="28"/>
              </w:rPr>
              <w:t xml:space="preserve">:00 по </w:t>
            </w:r>
            <w:proofErr w:type="spellStart"/>
            <w:r w:rsidR="00C03C60" w:rsidRPr="009E594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9E5945">
              <w:rPr>
                <w:b/>
                <w:bCs/>
                <w:sz w:val="28"/>
                <w:szCs w:val="28"/>
              </w:rPr>
              <w:t xml:space="preserve"> </w:t>
            </w:r>
            <w:r w:rsidR="003B4FA3" w:rsidRPr="009E5945">
              <w:rPr>
                <w:b/>
                <w:bCs/>
                <w:sz w:val="28"/>
                <w:szCs w:val="28"/>
              </w:rPr>
              <w:t>«</w:t>
            </w:r>
            <w:r w:rsidR="00F03DFC">
              <w:rPr>
                <w:b/>
                <w:bCs/>
                <w:sz w:val="28"/>
                <w:szCs w:val="28"/>
              </w:rPr>
              <w:t>28</w:t>
            </w:r>
            <w:r w:rsidR="00C03C60" w:rsidRPr="009E5945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A02FE0">
              <w:rPr>
                <w:b/>
                <w:bCs/>
                <w:sz w:val="28"/>
                <w:szCs w:val="28"/>
              </w:rPr>
              <w:t>декабря</w:t>
            </w:r>
            <w:r w:rsidR="0036644F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DE6E5A">
              <w:rPr>
                <w:sz w:val="28"/>
                <w:szCs w:val="28"/>
              </w:rPr>
              <w:t>.</w:t>
            </w:r>
          </w:p>
          <w:p w:rsidR="006D7D15" w:rsidRPr="00DE6E5A" w:rsidRDefault="006D7D15" w:rsidP="00F03DFC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</w:t>
            </w:r>
            <w:r w:rsidR="004C0613" w:rsidRPr="00932B85">
              <w:rPr>
                <w:bCs/>
                <w:sz w:val="28"/>
                <w:szCs w:val="28"/>
              </w:rPr>
              <w:t>ествляется</w:t>
            </w:r>
            <w:r w:rsidR="00694B22">
              <w:rPr>
                <w:bCs/>
                <w:sz w:val="28"/>
                <w:szCs w:val="28"/>
              </w:rPr>
              <w:t xml:space="preserve">                      </w:t>
            </w:r>
            <w:proofErr w:type="gramStart"/>
            <w:r w:rsidR="00694B22">
              <w:rPr>
                <w:bCs/>
                <w:sz w:val="28"/>
                <w:szCs w:val="28"/>
              </w:rPr>
              <w:t xml:space="preserve">  </w:t>
            </w:r>
            <w:r w:rsidR="004C0613" w:rsidRPr="00932B85">
              <w:rPr>
                <w:bCs/>
                <w:sz w:val="28"/>
                <w:szCs w:val="28"/>
              </w:rPr>
              <w:t xml:space="preserve"> </w:t>
            </w:r>
            <w:r w:rsidR="004C0613" w:rsidRPr="00703D16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F03DFC">
              <w:rPr>
                <w:b/>
                <w:bCs/>
                <w:sz w:val="28"/>
                <w:szCs w:val="28"/>
              </w:rPr>
              <w:t>28</w:t>
            </w:r>
            <w:r w:rsidR="004C0613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0B39E1">
              <w:rPr>
                <w:b/>
                <w:bCs/>
                <w:sz w:val="28"/>
                <w:szCs w:val="28"/>
              </w:rPr>
              <w:t>декабря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1E0879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4C0613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241C44">
              <w:rPr>
                <w:rFonts w:eastAsia="MS Mincho"/>
                <w:sz w:val="28"/>
                <w:szCs w:val="28"/>
              </w:rPr>
              <w:t>в  электронной</w:t>
            </w:r>
            <w:proofErr w:type="gramEnd"/>
            <w:r w:rsidRPr="00241C44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</w:t>
            </w:r>
            <w:proofErr w:type="spellStart"/>
            <w:r w:rsidRPr="00DE6E5A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DE6E5A">
              <w:rPr>
                <w:rFonts w:eastAsia="MS Mincho"/>
                <w:sz w:val="28"/>
                <w:szCs w:val="28"/>
              </w:rPr>
              <w:t>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Формы документов, предоставляемых в составе заявки участника:</w:t>
            </w:r>
          </w:p>
          <w:p w:rsidR="006C6042" w:rsidRPr="00DE6E5A" w:rsidRDefault="00241C44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.1.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Default="00241C44" w:rsidP="00F8193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lastRenderedPageBreak/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.2.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2631AC" w:rsidRPr="00AD4B91" w:rsidDel="004752B5" w:rsidRDefault="002631AC" w:rsidP="00F8193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4.3. </w:t>
            </w:r>
            <w:r w:rsidRPr="002631AC">
              <w:rPr>
                <w:rFonts w:eastAsia="MS Mincho"/>
                <w:sz w:val="28"/>
                <w:szCs w:val="28"/>
              </w:rPr>
              <w:t>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A62DD">
      <w:rPr>
        <w:rStyle w:val="a9"/>
        <w:noProof/>
      </w:rPr>
      <w:t>3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17D03"/>
    <w:rsid w:val="000204B5"/>
    <w:rsid w:val="00020892"/>
    <w:rsid w:val="00036B21"/>
    <w:rsid w:val="0005577A"/>
    <w:rsid w:val="000735BB"/>
    <w:rsid w:val="00090FBF"/>
    <w:rsid w:val="000B39E1"/>
    <w:rsid w:val="000C0873"/>
    <w:rsid w:val="000D42C1"/>
    <w:rsid w:val="000D79B1"/>
    <w:rsid w:val="000E228C"/>
    <w:rsid w:val="000F784B"/>
    <w:rsid w:val="001374BD"/>
    <w:rsid w:val="001374D9"/>
    <w:rsid w:val="00170469"/>
    <w:rsid w:val="00175AB3"/>
    <w:rsid w:val="001A3991"/>
    <w:rsid w:val="001A5214"/>
    <w:rsid w:val="001B0433"/>
    <w:rsid w:val="001B3751"/>
    <w:rsid w:val="001C4325"/>
    <w:rsid w:val="001C67CD"/>
    <w:rsid w:val="001E0879"/>
    <w:rsid w:val="001E6DAB"/>
    <w:rsid w:val="001F1F05"/>
    <w:rsid w:val="00206C78"/>
    <w:rsid w:val="002079BF"/>
    <w:rsid w:val="0021280A"/>
    <w:rsid w:val="002171B6"/>
    <w:rsid w:val="00223004"/>
    <w:rsid w:val="00227FB7"/>
    <w:rsid w:val="00232172"/>
    <w:rsid w:val="002336C7"/>
    <w:rsid w:val="00241C44"/>
    <w:rsid w:val="002631AC"/>
    <w:rsid w:val="002848C8"/>
    <w:rsid w:val="002A2F1B"/>
    <w:rsid w:val="002A7402"/>
    <w:rsid w:val="0035763D"/>
    <w:rsid w:val="0036644F"/>
    <w:rsid w:val="0038075B"/>
    <w:rsid w:val="003B0931"/>
    <w:rsid w:val="003B4FA3"/>
    <w:rsid w:val="003C1D3C"/>
    <w:rsid w:val="003D2189"/>
    <w:rsid w:val="003D7635"/>
    <w:rsid w:val="003E4729"/>
    <w:rsid w:val="00412E35"/>
    <w:rsid w:val="004212E5"/>
    <w:rsid w:val="00447A76"/>
    <w:rsid w:val="004752B5"/>
    <w:rsid w:val="00493225"/>
    <w:rsid w:val="004C0613"/>
    <w:rsid w:val="004C1EA2"/>
    <w:rsid w:val="005607B6"/>
    <w:rsid w:val="00572F8B"/>
    <w:rsid w:val="00580F27"/>
    <w:rsid w:val="0059646C"/>
    <w:rsid w:val="005A22FE"/>
    <w:rsid w:val="005A33A2"/>
    <w:rsid w:val="005B155B"/>
    <w:rsid w:val="005B2EBD"/>
    <w:rsid w:val="005C3B70"/>
    <w:rsid w:val="005C6C2F"/>
    <w:rsid w:val="005D4278"/>
    <w:rsid w:val="0060681D"/>
    <w:rsid w:val="00626915"/>
    <w:rsid w:val="006526E0"/>
    <w:rsid w:val="00664F01"/>
    <w:rsid w:val="00694B22"/>
    <w:rsid w:val="00696935"/>
    <w:rsid w:val="006A4492"/>
    <w:rsid w:val="006A64A6"/>
    <w:rsid w:val="006C468C"/>
    <w:rsid w:val="006C6042"/>
    <w:rsid w:val="006D7D15"/>
    <w:rsid w:val="006F002F"/>
    <w:rsid w:val="006F1872"/>
    <w:rsid w:val="006F3A5C"/>
    <w:rsid w:val="00703D16"/>
    <w:rsid w:val="00713B66"/>
    <w:rsid w:val="00716042"/>
    <w:rsid w:val="007350E9"/>
    <w:rsid w:val="00741BC8"/>
    <w:rsid w:val="00744770"/>
    <w:rsid w:val="0077009B"/>
    <w:rsid w:val="00770CBE"/>
    <w:rsid w:val="00780B6F"/>
    <w:rsid w:val="007F338A"/>
    <w:rsid w:val="008247B4"/>
    <w:rsid w:val="00843653"/>
    <w:rsid w:val="008445F7"/>
    <w:rsid w:val="00871F95"/>
    <w:rsid w:val="00875B42"/>
    <w:rsid w:val="00891C1C"/>
    <w:rsid w:val="008A4AE0"/>
    <w:rsid w:val="008F2259"/>
    <w:rsid w:val="00900767"/>
    <w:rsid w:val="00923EBF"/>
    <w:rsid w:val="0092449F"/>
    <w:rsid w:val="00924DAF"/>
    <w:rsid w:val="00926831"/>
    <w:rsid w:val="00932B85"/>
    <w:rsid w:val="00940D80"/>
    <w:rsid w:val="009416A7"/>
    <w:rsid w:val="00980459"/>
    <w:rsid w:val="0098231C"/>
    <w:rsid w:val="00993F02"/>
    <w:rsid w:val="009A2748"/>
    <w:rsid w:val="009D47ED"/>
    <w:rsid w:val="009D5733"/>
    <w:rsid w:val="009D5F5C"/>
    <w:rsid w:val="009E5945"/>
    <w:rsid w:val="009E794B"/>
    <w:rsid w:val="00A02FE0"/>
    <w:rsid w:val="00A17156"/>
    <w:rsid w:val="00A81A05"/>
    <w:rsid w:val="00AA136F"/>
    <w:rsid w:val="00AA326E"/>
    <w:rsid w:val="00AA3E14"/>
    <w:rsid w:val="00AA62DD"/>
    <w:rsid w:val="00AA7D8D"/>
    <w:rsid w:val="00AD4B91"/>
    <w:rsid w:val="00AD568D"/>
    <w:rsid w:val="00AE063E"/>
    <w:rsid w:val="00B03043"/>
    <w:rsid w:val="00B337D9"/>
    <w:rsid w:val="00B36CDB"/>
    <w:rsid w:val="00B6030F"/>
    <w:rsid w:val="00B81E46"/>
    <w:rsid w:val="00B836B6"/>
    <w:rsid w:val="00B87168"/>
    <w:rsid w:val="00BA01FA"/>
    <w:rsid w:val="00BB08DA"/>
    <w:rsid w:val="00C03C60"/>
    <w:rsid w:val="00C215CF"/>
    <w:rsid w:val="00C42D72"/>
    <w:rsid w:val="00C53F7C"/>
    <w:rsid w:val="00C5560C"/>
    <w:rsid w:val="00C6373D"/>
    <w:rsid w:val="00C948BD"/>
    <w:rsid w:val="00CD0671"/>
    <w:rsid w:val="00D275AA"/>
    <w:rsid w:val="00D6498B"/>
    <w:rsid w:val="00DA0B12"/>
    <w:rsid w:val="00DB58B6"/>
    <w:rsid w:val="00DE6E5A"/>
    <w:rsid w:val="00E05BB3"/>
    <w:rsid w:val="00E37E1E"/>
    <w:rsid w:val="00E53922"/>
    <w:rsid w:val="00EB59E4"/>
    <w:rsid w:val="00ED5B3F"/>
    <w:rsid w:val="00EE22C2"/>
    <w:rsid w:val="00EE2B58"/>
    <w:rsid w:val="00EF1985"/>
    <w:rsid w:val="00EF7DAC"/>
    <w:rsid w:val="00F03DFC"/>
    <w:rsid w:val="00F1506D"/>
    <w:rsid w:val="00F50405"/>
    <w:rsid w:val="00F62FC6"/>
    <w:rsid w:val="00F8193F"/>
    <w:rsid w:val="00F844D8"/>
    <w:rsid w:val="00FA0154"/>
    <w:rsid w:val="00FB0214"/>
    <w:rsid w:val="00FB4A26"/>
    <w:rsid w:val="00FB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4E9C5-4353-48DD-BD1A-6E619D5A5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Арсенова Юлия Александровна</cp:lastModifiedBy>
  <cp:revision>37</cp:revision>
  <cp:lastPrinted>2024-12-13T12:22:00Z</cp:lastPrinted>
  <dcterms:created xsi:type="dcterms:W3CDTF">2021-07-01T10:13:00Z</dcterms:created>
  <dcterms:modified xsi:type="dcterms:W3CDTF">2025-01-27T08:52:00Z</dcterms:modified>
</cp:coreProperties>
</file>