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9C2DE2" w:rsidRDefault="00FC052C" w:rsidP="003F34A6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3F34A6"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 w:rsidR="003F34A6">
        <w:rPr>
          <w:b/>
          <w:bCs/>
          <w:sz w:val="24"/>
          <w:szCs w:val="24"/>
        </w:rPr>
        <w:t xml:space="preserve">, </w:t>
      </w:r>
      <w:r w:rsidR="003F34A6"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 w:rsidR="003F34A6"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</w:t>
      </w:r>
      <w:r w:rsidR="00825405">
        <w:rPr>
          <w:b/>
          <w:bCs/>
          <w:sz w:val="24"/>
          <w:szCs w:val="24"/>
        </w:rPr>
        <w:t>ьневосточной железн</w:t>
      </w:r>
      <w:r w:rsidR="00B61D4B">
        <w:rPr>
          <w:b/>
          <w:bCs/>
          <w:sz w:val="24"/>
          <w:szCs w:val="24"/>
        </w:rPr>
        <w:t>ой дороги с 01 ноября 2025 года (далее – «Соглашение о точности планирования»).</w:t>
      </w:r>
    </w:p>
    <w:p w:rsidR="00764DCB" w:rsidRPr="004B4497" w:rsidRDefault="00764DCB" w:rsidP="003F34A6">
      <w:pPr>
        <w:jc w:val="center"/>
        <w:rPr>
          <w:b/>
          <w:bCs/>
          <w:sz w:val="24"/>
          <w:szCs w:val="24"/>
        </w:rPr>
      </w:pPr>
    </w:p>
    <w:p w:rsidR="00C21E35" w:rsidRPr="00BF4CC0" w:rsidRDefault="00C21E35" w:rsidP="00C21E35">
      <w:pPr>
        <w:rPr>
          <w:sz w:val="24"/>
          <w:szCs w:val="24"/>
        </w:rPr>
      </w:pPr>
    </w:p>
    <w:p w:rsidR="009C2DE2" w:rsidRDefault="009C2DE2" w:rsidP="009C2DE2">
      <w:pPr>
        <w:ind w:firstLine="708"/>
        <w:jc w:val="both"/>
        <w:rPr>
          <w:sz w:val="24"/>
          <w:szCs w:val="24"/>
        </w:rPr>
      </w:pPr>
      <w:r w:rsidRPr="009C2DE2">
        <w:rPr>
          <w:sz w:val="24"/>
          <w:szCs w:val="24"/>
        </w:rPr>
        <w:t xml:space="preserve">В целях </w:t>
      </w:r>
      <w:r w:rsidR="00AC523F">
        <w:rPr>
          <w:sz w:val="24"/>
          <w:szCs w:val="24"/>
        </w:rPr>
        <w:t>реализации</w:t>
      </w:r>
      <w:r w:rsidRPr="009C2DE2">
        <w:rPr>
          <w:sz w:val="24"/>
          <w:szCs w:val="24"/>
        </w:rPr>
        <w:t xml:space="preserve"> мер по </w:t>
      </w:r>
      <w:r w:rsidR="00A073A4">
        <w:rPr>
          <w:sz w:val="24"/>
          <w:szCs w:val="24"/>
        </w:rPr>
        <w:t xml:space="preserve">повышению эффективности работы вагонов и </w:t>
      </w:r>
      <w:r w:rsidRPr="009C2DE2">
        <w:rPr>
          <w:sz w:val="24"/>
          <w:szCs w:val="24"/>
        </w:rPr>
        <w:t>поддержке грузоотправителей, АО «Рефсервис» вводит</w:t>
      </w:r>
      <w:r w:rsidR="007003FE">
        <w:rPr>
          <w:sz w:val="24"/>
          <w:szCs w:val="24"/>
        </w:rPr>
        <w:t xml:space="preserve"> с 01 ноября 2025 года</w:t>
      </w:r>
      <w:r w:rsidRPr="009C2DE2">
        <w:rPr>
          <w:sz w:val="24"/>
          <w:szCs w:val="24"/>
        </w:rPr>
        <w:t xml:space="preserve"> </w:t>
      </w:r>
      <w:r w:rsidR="00EC0311">
        <w:rPr>
          <w:sz w:val="24"/>
          <w:szCs w:val="24"/>
        </w:rPr>
        <w:t>следующие условия</w:t>
      </w:r>
      <w:r w:rsidR="00590771">
        <w:rPr>
          <w:sz w:val="24"/>
          <w:szCs w:val="24"/>
        </w:rPr>
        <w:t xml:space="preserve"> для получения дополнительной скидки</w:t>
      </w:r>
      <w:r w:rsidRPr="009C2DE2">
        <w:rPr>
          <w:sz w:val="24"/>
          <w:szCs w:val="24"/>
        </w:rPr>
        <w:t xml:space="preserve"> на погрузку рыбы мороженной в вагонах ИВТ, </w:t>
      </w:r>
      <w:r w:rsidRPr="009C2DE2">
        <w:rPr>
          <w:bCs/>
          <w:sz w:val="24"/>
          <w:szCs w:val="24"/>
        </w:rPr>
        <w:t>ВТ, ВТ-Н и ИВТ-М60</w:t>
      </w:r>
      <w:r w:rsidRPr="009C2DE2">
        <w:rPr>
          <w:b/>
          <w:bCs/>
          <w:sz w:val="24"/>
          <w:szCs w:val="24"/>
        </w:rPr>
        <w:t xml:space="preserve"> </w:t>
      </w:r>
      <w:r w:rsidRPr="009C2DE2">
        <w:rPr>
          <w:bCs/>
          <w:sz w:val="24"/>
          <w:szCs w:val="24"/>
        </w:rPr>
        <w:t xml:space="preserve">со станций </w:t>
      </w:r>
      <w:r w:rsidR="00590771">
        <w:rPr>
          <w:bCs/>
          <w:sz w:val="24"/>
          <w:szCs w:val="24"/>
        </w:rPr>
        <w:t>Дальневосточной железной дороги</w:t>
      </w:r>
      <w:r w:rsidR="009E199C">
        <w:rPr>
          <w:sz w:val="24"/>
          <w:szCs w:val="24"/>
        </w:rPr>
        <w:t xml:space="preserve"> в рамках «Соглашения о точности планирования».</w:t>
      </w:r>
    </w:p>
    <w:p w:rsidR="00EA1163" w:rsidRPr="00EA1163" w:rsidRDefault="00764DCB" w:rsidP="009C2D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Клиентам</w:t>
      </w:r>
      <w:r w:rsidR="00FB0A83">
        <w:rPr>
          <w:sz w:val="24"/>
          <w:szCs w:val="24"/>
        </w:rPr>
        <w:t>, чья максимальная граница гарантированного объёме не превышает 20-ти вагонов</w:t>
      </w:r>
      <w:r w:rsidR="00EF5C6F">
        <w:rPr>
          <w:sz w:val="24"/>
          <w:szCs w:val="24"/>
        </w:rPr>
        <w:t>*</w:t>
      </w:r>
      <w:r w:rsidR="00FB0A83">
        <w:rPr>
          <w:sz w:val="24"/>
          <w:szCs w:val="24"/>
        </w:rPr>
        <w:t>,</w:t>
      </w:r>
      <w:r>
        <w:rPr>
          <w:sz w:val="24"/>
          <w:szCs w:val="24"/>
        </w:rPr>
        <w:t xml:space="preserve"> предлагается заключить</w:t>
      </w:r>
      <w:r w:rsidR="004D2C9A">
        <w:rPr>
          <w:sz w:val="24"/>
          <w:szCs w:val="24"/>
        </w:rPr>
        <w:t xml:space="preserve"> с АО «Рефсервис» </w:t>
      </w:r>
      <w:r w:rsidR="00BB3BA6">
        <w:rPr>
          <w:sz w:val="24"/>
          <w:szCs w:val="24"/>
        </w:rPr>
        <w:t xml:space="preserve">новое </w:t>
      </w:r>
      <w:r w:rsidR="004D2C9A">
        <w:rPr>
          <w:sz w:val="24"/>
          <w:szCs w:val="24"/>
        </w:rPr>
        <w:t xml:space="preserve">соглашение о </w:t>
      </w:r>
      <w:r w:rsidR="003956B6">
        <w:rPr>
          <w:sz w:val="24"/>
          <w:szCs w:val="24"/>
        </w:rPr>
        <w:t>фиксированном</w:t>
      </w:r>
      <w:r w:rsidR="004D2C9A">
        <w:rPr>
          <w:sz w:val="24"/>
          <w:szCs w:val="24"/>
        </w:rPr>
        <w:t xml:space="preserve"> объёме погрузки,</w:t>
      </w:r>
      <w:r w:rsidR="009E6D9E">
        <w:rPr>
          <w:sz w:val="24"/>
          <w:szCs w:val="24"/>
        </w:rPr>
        <w:t xml:space="preserve"> сроком действия от 3-х месяцев и более,</w:t>
      </w:r>
      <w:r w:rsidR="004D2C9A">
        <w:rPr>
          <w:sz w:val="24"/>
          <w:szCs w:val="24"/>
        </w:rPr>
        <w:t xml:space="preserve"> в котором </w:t>
      </w:r>
      <w:r w:rsidR="00BB3BA6">
        <w:rPr>
          <w:sz w:val="24"/>
          <w:szCs w:val="24"/>
        </w:rPr>
        <w:t xml:space="preserve">точно </w:t>
      </w:r>
      <w:bookmarkStart w:id="0" w:name="_GoBack"/>
      <w:bookmarkEnd w:id="0"/>
      <w:r w:rsidR="003956B6">
        <w:rPr>
          <w:sz w:val="24"/>
          <w:szCs w:val="24"/>
        </w:rPr>
        <w:t>указывается</w:t>
      </w:r>
      <w:r w:rsidR="004D2C9A"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количество вагонов, предъявляемое к перевозке ежемесячно. При погрузке объёма вагонов, указанного в соглашении</w:t>
      </w:r>
      <w:r w:rsidR="00EB1016">
        <w:rPr>
          <w:sz w:val="24"/>
          <w:szCs w:val="24"/>
        </w:rPr>
        <w:t>,</w:t>
      </w:r>
      <w:r>
        <w:rPr>
          <w:sz w:val="24"/>
          <w:szCs w:val="24"/>
        </w:rPr>
        <w:t xml:space="preserve"> с учётом </w:t>
      </w:r>
      <w:proofErr w:type="spellStart"/>
      <w:r>
        <w:rPr>
          <w:sz w:val="24"/>
          <w:szCs w:val="24"/>
        </w:rPr>
        <w:t>толеранса</w:t>
      </w:r>
      <w:proofErr w:type="spellEnd"/>
      <w:r>
        <w:rPr>
          <w:sz w:val="24"/>
          <w:szCs w:val="24"/>
        </w:rPr>
        <w:t xml:space="preserve"> +- 10%</w:t>
      </w:r>
      <w:r w:rsidR="00112DDB">
        <w:rPr>
          <w:sz w:val="24"/>
          <w:szCs w:val="24"/>
        </w:rPr>
        <w:t>**</w:t>
      </w:r>
      <w:r>
        <w:rPr>
          <w:sz w:val="24"/>
          <w:szCs w:val="24"/>
        </w:rPr>
        <w:t>, применяется скидка 20% к действующим ценовым условиям на весь погруженный объём</w:t>
      </w:r>
      <w:r w:rsidR="0000206B">
        <w:rPr>
          <w:sz w:val="24"/>
          <w:szCs w:val="24"/>
        </w:rPr>
        <w:t xml:space="preserve"> в отчетный период</w:t>
      </w:r>
      <w:r>
        <w:rPr>
          <w:sz w:val="24"/>
          <w:szCs w:val="24"/>
        </w:rPr>
        <w:t xml:space="preserve">. В случае если Клиент не погрузил достаточное количество вагонов для выполнения условий соглашения с учётом </w:t>
      </w:r>
      <w:proofErr w:type="spellStart"/>
      <w:r>
        <w:rPr>
          <w:sz w:val="24"/>
          <w:szCs w:val="24"/>
        </w:rPr>
        <w:t>толеранса</w:t>
      </w:r>
      <w:proofErr w:type="spellEnd"/>
      <w:r>
        <w:rPr>
          <w:sz w:val="24"/>
          <w:szCs w:val="24"/>
        </w:rPr>
        <w:t xml:space="preserve"> +- 10%, </w:t>
      </w:r>
      <w:r w:rsidR="00EA1163">
        <w:rPr>
          <w:sz w:val="24"/>
          <w:szCs w:val="24"/>
        </w:rPr>
        <w:t xml:space="preserve">то он </w:t>
      </w:r>
      <w:r w:rsidR="00EA1163" w:rsidRPr="00EA1163">
        <w:rPr>
          <w:sz w:val="24"/>
          <w:szCs w:val="24"/>
        </w:rPr>
        <w:t xml:space="preserve">выполняет свое обязательство по </w:t>
      </w:r>
      <w:r w:rsidR="00EB1016">
        <w:rPr>
          <w:sz w:val="24"/>
          <w:szCs w:val="24"/>
        </w:rPr>
        <w:t>фиксированному</w:t>
      </w:r>
      <w:r w:rsidR="00EA1163" w:rsidRPr="00EA1163">
        <w:rPr>
          <w:sz w:val="24"/>
          <w:szCs w:val="24"/>
        </w:rPr>
        <w:t xml:space="preserve"> объему на условиях "</w:t>
      </w:r>
      <w:proofErr w:type="spellStart"/>
      <w:r w:rsidR="00EA1163" w:rsidRPr="00EA1163">
        <w:rPr>
          <w:sz w:val="24"/>
          <w:szCs w:val="24"/>
        </w:rPr>
        <w:t>Take</w:t>
      </w:r>
      <w:proofErr w:type="spellEnd"/>
      <w:r w:rsidR="00EA1163" w:rsidRPr="00EA1163">
        <w:rPr>
          <w:sz w:val="24"/>
          <w:szCs w:val="24"/>
        </w:rPr>
        <w:t xml:space="preserve"> </w:t>
      </w:r>
      <w:proofErr w:type="spellStart"/>
      <w:r w:rsidR="00EA1163" w:rsidRPr="00EA1163">
        <w:rPr>
          <w:sz w:val="24"/>
          <w:szCs w:val="24"/>
        </w:rPr>
        <w:t>or</w:t>
      </w:r>
      <w:proofErr w:type="spellEnd"/>
      <w:r w:rsidR="00EA1163" w:rsidRPr="00EA1163">
        <w:rPr>
          <w:sz w:val="24"/>
          <w:szCs w:val="24"/>
        </w:rPr>
        <w:t xml:space="preserve"> </w:t>
      </w:r>
      <w:proofErr w:type="spellStart"/>
      <w:r w:rsidR="00EA1163" w:rsidRPr="00EA1163">
        <w:rPr>
          <w:sz w:val="24"/>
          <w:szCs w:val="24"/>
        </w:rPr>
        <w:t>pay</w:t>
      </w:r>
      <w:proofErr w:type="spellEnd"/>
      <w:r w:rsidR="00EA1163" w:rsidRPr="00EA1163">
        <w:rPr>
          <w:sz w:val="24"/>
          <w:szCs w:val="24"/>
        </w:rPr>
        <w:t>" ("бери или плати")</w:t>
      </w:r>
      <w:r w:rsidR="00EA1163">
        <w:rPr>
          <w:sz w:val="24"/>
          <w:szCs w:val="24"/>
        </w:rPr>
        <w:t xml:space="preserve">. </w:t>
      </w:r>
      <w:r w:rsidR="00EA1163" w:rsidRPr="00EA1163">
        <w:rPr>
          <w:sz w:val="24"/>
          <w:szCs w:val="24"/>
        </w:rPr>
        <w:t>Под термином "</w:t>
      </w:r>
      <w:proofErr w:type="spellStart"/>
      <w:r w:rsidR="00EA1163" w:rsidRPr="00EA1163">
        <w:rPr>
          <w:sz w:val="24"/>
          <w:szCs w:val="24"/>
        </w:rPr>
        <w:t>Take</w:t>
      </w:r>
      <w:proofErr w:type="spellEnd"/>
      <w:r w:rsidR="00EA1163" w:rsidRPr="00EA1163">
        <w:rPr>
          <w:sz w:val="24"/>
          <w:szCs w:val="24"/>
        </w:rPr>
        <w:t xml:space="preserve"> </w:t>
      </w:r>
      <w:proofErr w:type="spellStart"/>
      <w:r w:rsidR="00EA1163" w:rsidRPr="00EA1163">
        <w:rPr>
          <w:sz w:val="24"/>
          <w:szCs w:val="24"/>
        </w:rPr>
        <w:t>or</w:t>
      </w:r>
      <w:proofErr w:type="spellEnd"/>
      <w:r w:rsidR="00EA1163" w:rsidRPr="00EA1163">
        <w:rPr>
          <w:sz w:val="24"/>
          <w:szCs w:val="24"/>
        </w:rPr>
        <w:t xml:space="preserve"> </w:t>
      </w:r>
      <w:proofErr w:type="spellStart"/>
      <w:r w:rsidR="00EA1163" w:rsidRPr="00EA1163">
        <w:rPr>
          <w:sz w:val="24"/>
          <w:szCs w:val="24"/>
        </w:rPr>
        <w:t>pay</w:t>
      </w:r>
      <w:proofErr w:type="spellEnd"/>
      <w:r w:rsidR="00EA1163" w:rsidRPr="00EA1163">
        <w:rPr>
          <w:sz w:val="24"/>
          <w:szCs w:val="24"/>
        </w:rPr>
        <w:t xml:space="preserve">" понимается обязательство </w:t>
      </w:r>
      <w:r w:rsidR="00EA1163">
        <w:rPr>
          <w:sz w:val="24"/>
          <w:szCs w:val="24"/>
        </w:rPr>
        <w:t>Клиента</w:t>
      </w:r>
      <w:r w:rsidR="00EA1163" w:rsidRPr="00EA1163">
        <w:rPr>
          <w:sz w:val="24"/>
          <w:szCs w:val="24"/>
        </w:rPr>
        <w:t xml:space="preserve"> по выполнению </w:t>
      </w:r>
      <w:r w:rsidR="008B2354">
        <w:rPr>
          <w:sz w:val="24"/>
          <w:szCs w:val="24"/>
        </w:rPr>
        <w:t>фиксированного</w:t>
      </w:r>
      <w:r w:rsidR="00954B33">
        <w:rPr>
          <w:sz w:val="24"/>
          <w:szCs w:val="24"/>
        </w:rPr>
        <w:t xml:space="preserve"> объема, </w:t>
      </w:r>
      <w:r w:rsidR="00EA1163" w:rsidRPr="00EA1163">
        <w:rPr>
          <w:sz w:val="24"/>
          <w:szCs w:val="24"/>
        </w:rPr>
        <w:t xml:space="preserve">либо обязанность </w:t>
      </w:r>
      <w:r w:rsidR="00954B33">
        <w:rPr>
          <w:sz w:val="24"/>
          <w:szCs w:val="24"/>
        </w:rPr>
        <w:t>Клиента</w:t>
      </w:r>
      <w:r w:rsidR="00EA1163" w:rsidRPr="00EA1163">
        <w:rPr>
          <w:sz w:val="24"/>
          <w:szCs w:val="24"/>
        </w:rPr>
        <w:t xml:space="preserve"> оплатить стоимость услуг </w:t>
      </w:r>
      <w:r w:rsidR="00CB6C93">
        <w:rPr>
          <w:sz w:val="24"/>
          <w:szCs w:val="24"/>
        </w:rPr>
        <w:t>за предоставление</w:t>
      </w:r>
      <w:r w:rsidR="00EA1163" w:rsidRPr="00EA1163">
        <w:rPr>
          <w:sz w:val="24"/>
          <w:szCs w:val="24"/>
        </w:rPr>
        <w:t xml:space="preserve"> </w:t>
      </w:r>
      <w:r w:rsidR="0047449B">
        <w:rPr>
          <w:sz w:val="24"/>
          <w:szCs w:val="24"/>
        </w:rPr>
        <w:t>вагонов</w:t>
      </w:r>
      <w:r w:rsidR="00CB6C93">
        <w:rPr>
          <w:sz w:val="24"/>
          <w:szCs w:val="24"/>
        </w:rPr>
        <w:t>,</w:t>
      </w:r>
      <w:r w:rsidR="00EA1163" w:rsidRPr="00EA1163">
        <w:rPr>
          <w:sz w:val="24"/>
          <w:szCs w:val="24"/>
        </w:rPr>
        <w:t xml:space="preserve"> фактически отгруженны</w:t>
      </w:r>
      <w:r w:rsidR="00CB6C93">
        <w:rPr>
          <w:sz w:val="24"/>
          <w:szCs w:val="24"/>
        </w:rPr>
        <w:t>х</w:t>
      </w:r>
      <w:r w:rsidR="00EA1163" w:rsidRPr="00EA1163">
        <w:rPr>
          <w:sz w:val="24"/>
          <w:szCs w:val="24"/>
        </w:rPr>
        <w:t xml:space="preserve"> </w:t>
      </w:r>
      <w:r w:rsidR="00CB6C93">
        <w:rPr>
          <w:sz w:val="24"/>
          <w:szCs w:val="24"/>
        </w:rPr>
        <w:t>в отчетном месяце</w:t>
      </w:r>
      <w:r w:rsidR="00EA1163" w:rsidRPr="00EA1163">
        <w:rPr>
          <w:sz w:val="24"/>
          <w:szCs w:val="24"/>
        </w:rPr>
        <w:t xml:space="preserve">, но в любом случае не </w:t>
      </w:r>
      <w:r w:rsidR="00CB6C93">
        <w:rPr>
          <w:sz w:val="24"/>
          <w:szCs w:val="24"/>
        </w:rPr>
        <w:t>менее</w:t>
      </w:r>
      <w:r w:rsidR="00EA1163" w:rsidRPr="00EA1163">
        <w:rPr>
          <w:sz w:val="24"/>
          <w:szCs w:val="24"/>
        </w:rPr>
        <w:t>, чем за количество вагонов</w:t>
      </w:r>
      <w:r w:rsidR="00CB6C93">
        <w:rPr>
          <w:sz w:val="24"/>
          <w:szCs w:val="24"/>
        </w:rPr>
        <w:t xml:space="preserve"> указанное в соглашении </w:t>
      </w:r>
      <w:r w:rsidR="005D45AB">
        <w:rPr>
          <w:sz w:val="24"/>
          <w:szCs w:val="24"/>
        </w:rPr>
        <w:t xml:space="preserve">с </w:t>
      </w:r>
      <w:r w:rsidR="00C23B8E">
        <w:rPr>
          <w:sz w:val="24"/>
          <w:szCs w:val="24"/>
        </w:rPr>
        <w:t>вычетом</w:t>
      </w:r>
      <w:r w:rsidR="005D45AB">
        <w:rPr>
          <w:sz w:val="24"/>
          <w:szCs w:val="24"/>
        </w:rPr>
        <w:t xml:space="preserve"> </w:t>
      </w:r>
      <w:proofErr w:type="spellStart"/>
      <w:proofErr w:type="gramStart"/>
      <w:r w:rsidR="00CB6C93">
        <w:rPr>
          <w:sz w:val="24"/>
          <w:szCs w:val="24"/>
        </w:rPr>
        <w:t>толеранса</w:t>
      </w:r>
      <w:proofErr w:type="spellEnd"/>
      <w:r w:rsidR="00EA1163" w:rsidRPr="00EA1163">
        <w:rPr>
          <w:sz w:val="24"/>
          <w:szCs w:val="24"/>
        </w:rPr>
        <w:t>.</w:t>
      </w:r>
      <w:r w:rsidR="00175F15">
        <w:rPr>
          <w:sz w:val="24"/>
          <w:szCs w:val="24"/>
        </w:rPr>
        <w:t>*</w:t>
      </w:r>
      <w:proofErr w:type="gramEnd"/>
      <w:r w:rsidR="00EF5C6F">
        <w:rPr>
          <w:sz w:val="24"/>
          <w:szCs w:val="24"/>
        </w:rPr>
        <w:t>**</w:t>
      </w:r>
    </w:p>
    <w:p w:rsidR="00764DCB" w:rsidRDefault="00B366D3" w:rsidP="009C2D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Ценовые условия определяются </w:t>
      </w:r>
      <w:r w:rsidR="00DE74D4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действующим</w:t>
      </w:r>
      <w:r w:rsidR="00DE74D4">
        <w:rPr>
          <w:sz w:val="24"/>
          <w:szCs w:val="24"/>
        </w:rPr>
        <w:t>и</w:t>
      </w:r>
      <w:r>
        <w:rPr>
          <w:sz w:val="24"/>
          <w:szCs w:val="24"/>
        </w:rPr>
        <w:t xml:space="preserve"> на момент погрузки коммерческими предложениями, размещенными на официальном сайте АО «Рефсервис», в том числе применяются скидки и понижающие коэффициенты в соответствии с коммерческими предложениям</w:t>
      </w:r>
      <w:r w:rsidR="000F0553">
        <w:rPr>
          <w:sz w:val="24"/>
          <w:szCs w:val="24"/>
        </w:rPr>
        <w:t>и, при</w:t>
      </w:r>
      <w:r w:rsidR="000F0553" w:rsidRPr="000F0553">
        <w:rPr>
          <w:sz w:val="24"/>
          <w:szCs w:val="24"/>
        </w:rPr>
        <w:t xml:space="preserve"> </w:t>
      </w:r>
      <w:r w:rsidR="004E7B2F" w:rsidRPr="000F0553">
        <w:rPr>
          <w:sz w:val="24"/>
          <w:szCs w:val="24"/>
        </w:rPr>
        <w:t>услови</w:t>
      </w:r>
      <w:r w:rsidR="004E7B2F">
        <w:rPr>
          <w:sz w:val="24"/>
          <w:szCs w:val="24"/>
        </w:rPr>
        <w:t>и</w:t>
      </w:r>
      <w:r w:rsidR="000F0553" w:rsidRPr="000F0553">
        <w:rPr>
          <w:sz w:val="24"/>
          <w:szCs w:val="24"/>
        </w:rPr>
        <w:t xml:space="preserve"> наличия соглашения о гарантированном объеме погрузки</w:t>
      </w:r>
      <w:r w:rsidR="000F0553">
        <w:rPr>
          <w:sz w:val="24"/>
          <w:szCs w:val="24"/>
        </w:rPr>
        <w:t>.</w:t>
      </w:r>
    </w:p>
    <w:p w:rsidR="008D4DC2" w:rsidRDefault="008D4DC2" w:rsidP="009C2DE2">
      <w:pPr>
        <w:ind w:firstLine="708"/>
        <w:jc w:val="both"/>
        <w:rPr>
          <w:sz w:val="24"/>
          <w:szCs w:val="24"/>
        </w:rPr>
      </w:pPr>
    </w:p>
    <w:p w:rsidR="00E86B97" w:rsidRPr="00641352" w:rsidRDefault="00EF5C6F" w:rsidP="00EF5C6F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>* При заключении соглашения о фиксированном объёме погрузки, приостанавливается действия соглашений о гарантированном объёме погрузки, а также ответственность, предусмотренная данными соглашениями.</w:t>
      </w:r>
      <w:r w:rsidR="00F87DAD" w:rsidRPr="00641352">
        <w:rPr>
          <w:i/>
          <w:sz w:val="24"/>
          <w:szCs w:val="24"/>
        </w:rPr>
        <w:t xml:space="preserve"> </w:t>
      </w:r>
    </w:p>
    <w:p w:rsidR="00F87DAD" w:rsidRPr="00641352" w:rsidRDefault="00E86B97" w:rsidP="00EF5C6F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>**</w:t>
      </w:r>
      <w:r w:rsidR="00112DDB" w:rsidRPr="00641352">
        <w:rPr>
          <w:i/>
          <w:sz w:val="24"/>
          <w:szCs w:val="24"/>
        </w:rPr>
        <w:t xml:space="preserve"> При вычитании </w:t>
      </w:r>
      <w:proofErr w:type="spellStart"/>
      <w:r w:rsidR="00112DDB" w:rsidRPr="00641352">
        <w:rPr>
          <w:i/>
          <w:sz w:val="24"/>
          <w:szCs w:val="24"/>
        </w:rPr>
        <w:t>толеранса</w:t>
      </w:r>
      <w:proofErr w:type="spellEnd"/>
      <w:r w:rsidR="00112DDB" w:rsidRPr="00641352">
        <w:rPr>
          <w:i/>
          <w:sz w:val="24"/>
          <w:szCs w:val="24"/>
        </w:rPr>
        <w:t xml:space="preserve"> округление производиться в меньшую сторону, при прибавлении </w:t>
      </w:r>
      <w:proofErr w:type="spellStart"/>
      <w:r w:rsidR="00112DDB" w:rsidRPr="00641352">
        <w:rPr>
          <w:i/>
          <w:sz w:val="24"/>
          <w:szCs w:val="24"/>
        </w:rPr>
        <w:t>толеранса</w:t>
      </w:r>
      <w:proofErr w:type="spellEnd"/>
      <w:r w:rsidR="00112DDB" w:rsidRPr="00641352">
        <w:rPr>
          <w:i/>
          <w:sz w:val="24"/>
          <w:szCs w:val="24"/>
        </w:rPr>
        <w:t xml:space="preserve"> округление производиться в большую сторону.</w:t>
      </w:r>
      <w:r w:rsidRPr="00641352">
        <w:rPr>
          <w:i/>
          <w:sz w:val="24"/>
          <w:szCs w:val="24"/>
        </w:rPr>
        <w:t xml:space="preserve"> </w:t>
      </w:r>
      <w:r w:rsidR="00F87DAD" w:rsidRPr="00641352">
        <w:rPr>
          <w:i/>
          <w:sz w:val="24"/>
          <w:szCs w:val="24"/>
        </w:rPr>
        <w:t xml:space="preserve">         </w:t>
      </w:r>
    </w:p>
    <w:p w:rsidR="00F87DAD" w:rsidRPr="00641352" w:rsidRDefault="00175F15" w:rsidP="00175F15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>*</w:t>
      </w:r>
      <w:r w:rsidR="00EF5C6F" w:rsidRPr="00641352">
        <w:rPr>
          <w:i/>
          <w:sz w:val="24"/>
          <w:szCs w:val="24"/>
        </w:rPr>
        <w:t>**</w:t>
      </w:r>
      <w:r w:rsidRPr="00641352">
        <w:rPr>
          <w:i/>
          <w:sz w:val="24"/>
          <w:szCs w:val="24"/>
        </w:rPr>
        <w:t xml:space="preserve"> </w:t>
      </w:r>
      <w:r w:rsidR="008F567E" w:rsidRPr="00641352">
        <w:rPr>
          <w:i/>
          <w:sz w:val="24"/>
          <w:szCs w:val="24"/>
        </w:rPr>
        <w:t>Пример</w:t>
      </w:r>
      <w:r w:rsidR="008A2DD6" w:rsidRPr="00641352">
        <w:rPr>
          <w:i/>
          <w:sz w:val="24"/>
          <w:szCs w:val="24"/>
        </w:rPr>
        <w:t xml:space="preserve"> №1 -</w:t>
      </w:r>
      <w:r w:rsidRPr="00641352">
        <w:rPr>
          <w:i/>
          <w:sz w:val="24"/>
          <w:szCs w:val="24"/>
        </w:rPr>
        <w:t xml:space="preserve"> у Клиента фиксированная погрузка согласно соглашения 15 вагонов, с учётом </w:t>
      </w:r>
      <w:proofErr w:type="spellStart"/>
      <w:r w:rsidRPr="00641352">
        <w:rPr>
          <w:i/>
          <w:sz w:val="24"/>
          <w:szCs w:val="24"/>
        </w:rPr>
        <w:t>толеранса</w:t>
      </w:r>
      <w:proofErr w:type="spellEnd"/>
      <w:r w:rsidRPr="00641352">
        <w:rPr>
          <w:i/>
          <w:sz w:val="24"/>
          <w:szCs w:val="24"/>
        </w:rPr>
        <w:t xml:space="preserve"> необходимо погрузить не менее 13 вагонов, при этом фактическая погрузка</w:t>
      </w:r>
      <w:r w:rsidR="004B7B75" w:rsidRPr="00641352">
        <w:rPr>
          <w:i/>
          <w:sz w:val="24"/>
          <w:szCs w:val="24"/>
        </w:rPr>
        <w:t xml:space="preserve"> </w:t>
      </w:r>
      <w:r w:rsidRPr="00641352">
        <w:rPr>
          <w:i/>
          <w:sz w:val="24"/>
          <w:szCs w:val="24"/>
        </w:rPr>
        <w:t xml:space="preserve">в отчетный период составила 10 вагонов. В таком случае, Клиент </w:t>
      </w:r>
      <w:r w:rsidR="001F57DB" w:rsidRPr="00641352">
        <w:rPr>
          <w:i/>
          <w:sz w:val="24"/>
          <w:szCs w:val="24"/>
        </w:rPr>
        <w:t>обязан оплатить стоимость услуг за предоставление 13 вагонов</w:t>
      </w:r>
      <w:r w:rsidR="00097B3C" w:rsidRPr="00641352">
        <w:rPr>
          <w:i/>
          <w:sz w:val="24"/>
          <w:szCs w:val="24"/>
        </w:rPr>
        <w:t>, вне зависимости от фактически погруженного объёма,</w:t>
      </w:r>
      <w:r w:rsidR="001F57DB" w:rsidRPr="00641352">
        <w:rPr>
          <w:i/>
          <w:sz w:val="24"/>
          <w:szCs w:val="24"/>
        </w:rPr>
        <w:t xml:space="preserve"> с учетом применения всех скидок, согласно соглаш</w:t>
      </w:r>
      <w:r w:rsidR="003B0472" w:rsidRPr="00641352">
        <w:rPr>
          <w:i/>
          <w:sz w:val="24"/>
          <w:szCs w:val="24"/>
        </w:rPr>
        <w:t>ений и коммерческих предложений, при этом погруженные 10 вагонов рассчитываются по фактическому направлению, а 3 вагона по средней стоимости предоставления. Пример расчета:</w:t>
      </w:r>
    </w:p>
    <w:p w:rsidR="003B0472" w:rsidRPr="00641352" w:rsidRDefault="00925BD1" w:rsidP="00175F15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>Погрузка Клиента составила</w:t>
      </w:r>
      <w:r w:rsidR="002F57A6" w:rsidRPr="00641352">
        <w:rPr>
          <w:i/>
          <w:sz w:val="24"/>
          <w:szCs w:val="24"/>
        </w:rPr>
        <w:t xml:space="preserve"> -</w:t>
      </w:r>
      <w:r w:rsidR="003B0472" w:rsidRPr="00641352">
        <w:rPr>
          <w:i/>
          <w:sz w:val="24"/>
          <w:szCs w:val="24"/>
        </w:rPr>
        <w:t xml:space="preserve"> 5 ВТ на ст. Екатеринбург-товарный, 3 </w:t>
      </w:r>
      <w:r w:rsidRPr="00641352">
        <w:rPr>
          <w:i/>
          <w:sz w:val="24"/>
          <w:szCs w:val="24"/>
        </w:rPr>
        <w:t>ВТ</w:t>
      </w:r>
      <w:r w:rsidR="003B0472" w:rsidRPr="00641352">
        <w:rPr>
          <w:i/>
          <w:sz w:val="24"/>
          <w:szCs w:val="24"/>
        </w:rPr>
        <w:t xml:space="preserve"> на ст. Барнаул и 2 </w:t>
      </w:r>
      <w:r w:rsidRPr="00641352">
        <w:rPr>
          <w:i/>
          <w:sz w:val="24"/>
          <w:szCs w:val="24"/>
        </w:rPr>
        <w:t>ВТ</w:t>
      </w:r>
      <w:r w:rsidR="003B0472" w:rsidRPr="00641352">
        <w:rPr>
          <w:i/>
          <w:sz w:val="24"/>
          <w:szCs w:val="24"/>
        </w:rPr>
        <w:t xml:space="preserve"> на ст. Абакан.</w:t>
      </w:r>
    </w:p>
    <w:p w:rsidR="003B0472" w:rsidRPr="00641352" w:rsidRDefault="00DF0A94" w:rsidP="00175F15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 xml:space="preserve">      </w:t>
      </w:r>
      <w:r w:rsidR="00EF5C6F" w:rsidRPr="00641352">
        <w:rPr>
          <w:i/>
          <w:sz w:val="24"/>
          <w:szCs w:val="24"/>
        </w:rPr>
        <w:t xml:space="preserve">Стоимость предоставления </w:t>
      </w:r>
      <w:r w:rsidR="003B0472" w:rsidRPr="00641352">
        <w:rPr>
          <w:i/>
          <w:sz w:val="24"/>
          <w:szCs w:val="24"/>
        </w:rPr>
        <w:t>ВТ:</w:t>
      </w:r>
    </w:p>
    <w:p w:rsidR="003B0472" w:rsidRPr="00641352" w:rsidRDefault="003B0472" w:rsidP="00175F15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 xml:space="preserve">  - </w:t>
      </w:r>
      <w:r w:rsidR="00EF5C6F" w:rsidRPr="00641352">
        <w:rPr>
          <w:i/>
          <w:sz w:val="24"/>
          <w:szCs w:val="24"/>
        </w:rPr>
        <w:t xml:space="preserve">ст. Екатеринбург-товарный составляет 691 202,00 руб. без учета </w:t>
      </w:r>
      <w:proofErr w:type="gramStart"/>
      <w:r w:rsidR="00EF5C6F" w:rsidRPr="00641352">
        <w:rPr>
          <w:i/>
          <w:sz w:val="24"/>
          <w:szCs w:val="24"/>
        </w:rPr>
        <w:t>НДС.,</w:t>
      </w:r>
      <w:proofErr w:type="gramEnd"/>
      <w:r w:rsidR="00EF5C6F" w:rsidRPr="00641352">
        <w:rPr>
          <w:i/>
          <w:sz w:val="24"/>
          <w:szCs w:val="24"/>
        </w:rPr>
        <w:t xml:space="preserve"> с учетом скидки </w:t>
      </w:r>
      <w:r w:rsidRPr="00641352">
        <w:rPr>
          <w:i/>
          <w:sz w:val="24"/>
          <w:szCs w:val="24"/>
        </w:rPr>
        <w:t>552 961,60 руб. без учета НДС;</w:t>
      </w:r>
    </w:p>
    <w:p w:rsidR="003B0472" w:rsidRPr="00641352" w:rsidRDefault="003B0472" w:rsidP="00175F15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 xml:space="preserve"> - ст. Барнаул составляет 324 363,00 руб. без </w:t>
      </w:r>
      <w:proofErr w:type="gramStart"/>
      <w:r w:rsidRPr="00641352">
        <w:rPr>
          <w:i/>
          <w:sz w:val="24"/>
          <w:szCs w:val="24"/>
        </w:rPr>
        <w:t>НДС.,</w:t>
      </w:r>
      <w:proofErr w:type="gramEnd"/>
      <w:r w:rsidRPr="00641352">
        <w:rPr>
          <w:i/>
          <w:sz w:val="24"/>
          <w:szCs w:val="24"/>
        </w:rPr>
        <w:t xml:space="preserve"> с учетом скидки 259 490,40 руб. без НДС</w:t>
      </w:r>
    </w:p>
    <w:p w:rsidR="003B0472" w:rsidRPr="00641352" w:rsidRDefault="003B0472" w:rsidP="00175F15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lastRenderedPageBreak/>
        <w:t xml:space="preserve"> - ст. Абакан составляет 292 666,00 руб. без </w:t>
      </w:r>
      <w:proofErr w:type="gramStart"/>
      <w:r w:rsidRPr="00641352">
        <w:rPr>
          <w:i/>
          <w:sz w:val="24"/>
          <w:szCs w:val="24"/>
        </w:rPr>
        <w:t>НДС.,</w:t>
      </w:r>
      <w:proofErr w:type="gramEnd"/>
      <w:r w:rsidRPr="00641352">
        <w:rPr>
          <w:i/>
          <w:sz w:val="24"/>
          <w:szCs w:val="24"/>
        </w:rPr>
        <w:t xml:space="preserve"> с учетом скидки 234 132,80 руб. без НДС</w:t>
      </w:r>
    </w:p>
    <w:p w:rsidR="003B0472" w:rsidRPr="00641352" w:rsidRDefault="00D75F65" w:rsidP="00175F15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>Стоимость предоставления за 10 вагонов: (552 961,60*5) + (259 490,40*3) + (234 132,80*2) = 4 011 544,80 руб. без НДС.</w:t>
      </w:r>
    </w:p>
    <w:p w:rsidR="00D75F65" w:rsidRPr="00641352" w:rsidRDefault="00D75F65" w:rsidP="00175F15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 xml:space="preserve">Средняя стоимость 3-х недогруженных вагонов: (4 011 544,80/13) * 3 = 925 741,11 руб. без НДС </w:t>
      </w:r>
    </w:p>
    <w:p w:rsidR="00D75F65" w:rsidRPr="00641352" w:rsidRDefault="00D75F65" w:rsidP="00175F15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 xml:space="preserve">Итоговая сумма: 4 011 544,80 + 925 741,11 </w:t>
      </w:r>
      <w:r w:rsidR="002F57A6" w:rsidRPr="00641352">
        <w:rPr>
          <w:i/>
          <w:sz w:val="24"/>
          <w:szCs w:val="24"/>
        </w:rPr>
        <w:t>= 4</w:t>
      </w:r>
      <w:r w:rsidRPr="00641352">
        <w:rPr>
          <w:i/>
          <w:sz w:val="24"/>
          <w:szCs w:val="24"/>
        </w:rPr>
        <w:t xml:space="preserve"> 937 285,91 руб. без НДС</w:t>
      </w:r>
    </w:p>
    <w:p w:rsidR="00D75F65" w:rsidRPr="00641352" w:rsidRDefault="00D75F65" w:rsidP="00175F15">
      <w:pPr>
        <w:jc w:val="both"/>
        <w:rPr>
          <w:i/>
          <w:sz w:val="24"/>
          <w:szCs w:val="24"/>
        </w:rPr>
      </w:pPr>
    </w:p>
    <w:p w:rsidR="00BE4356" w:rsidRPr="00641352" w:rsidRDefault="00097B3C" w:rsidP="00E05E54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 xml:space="preserve">     Пример №2 – у Клиента фиксированная погрузка согласно соглашения 3 вагона, с учётом </w:t>
      </w:r>
      <w:proofErr w:type="spellStart"/>
      <w:r w:rsidRPr="00641352">
        <w:rPr>
          <w:i/>
          <w:sz w:val="24"/>
          <w:szCs w:val="24"/>
        </w:rPr>
        <w:t>толеранса</w:t>
      </w:r>
      <w:proofErr w:type="spellEnd"/>
      <w:r w:rsidRPr="00641352">
        <w:rPr>
          <w:i/>
          <w:sz w:val="24"/>
          <w:szCs w:val="24"/>
        </w:rPr>
        <w:t xml:space="preserve"> необходимо погрузить не менее 2 вагонов, при этом фактическ</w:t>
      </w:r>
      <w:r w:rsidR="00F1510C" w:rsidRPr="00641352">
        <w:rPr>
          <w:i/>
          <w:sz w:val="24"/>
          <w:szCs w:val="24"/>
        </w:rPr>
        <w:t>и</w:t>
      </w:r>
      <w:r w:rsidRPr="00641352">
        <w:rPr>
          <w:i/>
          <w:sz w:val="24"/>
          <w:szCs w:val="24"/>
        </w:rPr>
        <w:t xml:space="preserve"> за отчетный период Клиент не погрузил ни одного вагона. В таком случае, Клиент обязан оплатить стоимость услуг за предоставление 2 вагонов, </w:t>
      </w:r>
      <w:r w:rsidR="005E5B1D" w:rsidRPr="00641352">
        <w:rPr>
          <w:i/>
          <w:sz w:val="24"/>
          <w:szCs w:val="24"/>
        </w:rPr>
        <w:t xml:space="preserve">которая рассчитывается от стоимости предоставления вагонов на ст. Екатеринбург-товарный, согласно действующего коммерческого предложения, </w:t>
      </w:r>
      <w:r w:rsidRPr="00641352">
        <w:rPr>
          <w:i/>
          <w:sz w:val="24"/>
          <w:szCs w:val="24"/>
        </w:rPr>
        <w:t xml:space="preserve">вне зависимости от </w:t>
      </w:r>
      <w:r w:rsidR="00E05E54" w:rsidRPr="00641352">
        <w:rPr>
          <w:i/>
          <w:sz w:val="24"/>
          <w:szCs w:val="24"/>
        </w:rPr>
        <w:t>фактически погруженного объёма.</w:t>
      </w:r>
      <w:r w:rsidR="00925BD1" w:rsidRPr="00641352">
        <w:rPr>
          <w:i/>
          <w:sz w:val="24"/>
          <w:szCs w:val="24"/>
        </w:rPr>
        <w:t xml:space="preserve"> Пример расчета:</w:t>
      </w:r>
    </w:p>
    <w:p w:rsidR="002F57A6" w:rsidRPr="00641352" w:rsidRDefault="002F57A6" w:rsidP="002F57A6">
      <w:pPr>
        <w:jc w:val="both"/>
        <w:rPr>
          <w:i/>
          <w:sz w:val="24"/>
          <w:szCs w:val="24"/>
        </w:rPr>
      </w:pPr>
      <w:r w:rsidRPr="00641352">
        <w:rPr>
          <w:i/>
          <w:sz w:val="24"/>
          <w:szCs w:val="24"/>
        </w:rPr>
        <w:t xml:space="preserve">Погрузка Клиента составила - 0 ВТ, стоимость предоставления ВТ на ст. Екатеринбург-товарный составляет 691 202,00 руб. без учета </w:t>
      </w:r>
      <w:proofErr w:type="gramStart"/>
      <w:r w:rsidRPr="00641352">
        <w:rPr>
          <w:i/>
          <w:sz w:val="24"/>
          <w:szCs w:val="24"/>
        </w:rPr>
        <w:t>НДС.,</w:t>
      </w:r>
      <w:proofErr w:type="gramEnd"/>
      <w:r w:rsidRPr="00641352">
        <w:rPr>
          <w:i/>
          <w:sz w:val="24"/>
          <w:szCs w:val="24"/>
        </w:rPr>
        <w:t xml:space="preserve"> с учетом скидки 552 961,60 руб. без учета НДС, соответственно Клиент должен оплатить:  552 961,60 * 2 =  1 105 923,20 руб. без НДС.</w:t>
      </w:r>
    </w:p>
    <w:p w:rsidR="002F57A6" w:rsidRDefault="002F57A6" w:rsidP="00E05E54">
      <w:pPr>
        <w:jc w:val="both"/>
      </w:pPr>
    </w:p>
    <w:p w:rsidR="00925BD1" w:rsidRDefault="00925BD1" w:rsidP="00E05E54">
      <w:pPr>
        <w:jc w:val="both"/>
      </w:pPr>
    </w:p>
    <w:p w:rsidR="00925BD1" w:rsidRDefault="00925BD1" w:rsidP="00E05E54">
      <w:pPr>
        <w:jc w:val="both"/>
      </w:pPr>
    </w:p>
    <w:p w:rsidR="00925BD1" w:rsidRDefault="00925BD1" w:rsidP="00E05E54">
      <w:pPr>
        <w:jc w:val="both"/>
      </w:pPr>
    </w:p>
    <w:p w:rsidR="00925BD1" w:rsidRDefault="00925BD1" w:rsidP="00E05E54">
      <w:pPr>
        <w:jc w:val="both"/>
      </w:pPr>
    </w:p>
    <w:p w:rsidR="00925BD1" w:rsidRDefault="00925BD1" w:rsidP="00E05E54">
      <w:pPr>
        <w:jc w:val="both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2FF"/>
    <w:multiLevelType w:val="hybridMultilevel"/>
    <w:tmpl w:val="16645E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163B06"/>
    <w:multiLevelType w:val="hybridMultilevel"/>
    <w:tmpl w:val="227438A4"/>
    <w:lvl w:ilvl="0" w:tplc="D76265D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06B"/>
    <w:rsid w:val="00002F09"/>
    <w:rsid w:val="00003CE2"/>
    <w:rsid w:val="00012947"/>
    <w:rsid w:val="00013C67"/>
    <w:rsid w:val="0001562C"/>
    <w:rsid w:val="00020661"/>
    <w:rsid w:val="00023198"/>
    <w:rsid w:val="000249B2"/>
    <w:rsid w:val="00025B91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668F"/>
    <w:rsid w:val="000976EF"/>
    <w:rsid w:val="00097B3C"/>
    <w:rsid w:val="000A1C46"/>
    <w:rsid w:val="000A7D1A"/>
    <w:rsid w:val="000B05DE"/>
    <w:rsid w:val="000B5CF3"/>
    <w:rsid w:val="000C3B2F"/>
    <w:rsid w:val="000C555F"/>
    <w:rsid w:val="000D5DF1"/>
    <w:rsid w:val="000E5EDB"/>
    <w:rsid w:val="000F0553"/>
    <w:rsid w:val="000F1B0A"/>
    <w:rsid w:val="00101A4F"/>
    <w:rsid w:val="0010620E"/>
    <w:rsid w:val="00106636"/>
    <w:rsid w:val="001126FE"/>
    <w:rsid w:val="00112DDB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5F15"/>
    <w:rsid w:val="0017622A"/>
    <w:rsid w:val="00177F38"/>
    <w:rsid w:val="00185028"/>
    <w:rsid w:val="00190D4D"/>
    <w:rsid w:val="00195DA6"/>
    <w:rsid w:val="001A0675"/>
    <w:rsid w:val="001A6640"/>
    <w:rsid w:val="001B063E"/>
    <w:rsid w:val="001C24D9"/>
    <w:rsid w:val="001C35FC"/>
    <w:rsid w:val="001F57DB"/>
    <w:rsid w:val="0020574E"/>
    <w:rsid w:val="00206B63"/>
    <w:rsid w:val="002172C9"/>
    <w:rsid w:val="00220AD4"/>
    <w:rsid w:val="00221884"/>
    <w:rsid w:val="00232D9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7A6"/>
    <w:rsid w:val="002F5F29"/>
    <w:rsid w:val="00302E7C"/>
    <w:rsid w:val="0031080C"/>
    <w:rsid w:val="003159FF"/>
    <w:rsid w:val="00320C8D"/>
    <w:rsid w:val="00324073"/>
    <w:rsid w:val="00324849"/>
    <w:rsid w:val="00330972"/>
    <w:rsid w:val="0034573A"/>
    <w:rsid w:val="00346CF7"/>
    <w:rsid w:val="00353B8A"/>
    <w:rsid w:val="0036697C"/>
    <w:rsid w:val="0037261D"/>
    <w:rsid w:val="0039137E"/>
    <w:rsid w:val="00395121"/>
    <w:rsid w:val="003956B6"/>
    <w:rsid w:val="003A33C8"/>
    <w:rsid w:val="003A477E"/>
    <w:rsid w:val="003A5413"/>
    <w:rsid w:val="003A7D12"/>
    <w:rsid w:val="003B0472"/>
    <w:rsid w:val="003C126F"/>
    <w:rsid w:val="003E0808"/>
    <w:rsid w:val="003E083A"/>
    <w:rsid w:val="003E2113"/>
    <w:rsid w:val="003E4437"/>
    <w:rsid w:val="003E6C0C"/>
    <w:rsid w:val="003E71BE"/>
    <w:rsid w:val="003E74BC"/>
    <w:rsid w:val="003E7E15"/>
    <w:rsid w:val="003F34A6"/>
    <w:rsid w:val="003F5C14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B19"/>
    <w:rsid w:val="00465F17"/>
    <w:rsid w:val="0047449B"/>
    <w:rsid w:val="00475ABF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B75"/>
    <w:rsid w:val="004B7C96"/>
    <w:rsid w:val="004C5DB6"/>
    <w:rsid w:val="004C7990"/>
    <w:rsid w:val="004C7EEE"/>
    <w:rsid w:val="004D0F36"/>
    <w:rsid w:val="004D2C9A"/>
    <w:rsid w:val="004E1397"/>
    <w:rsid w:val="004E7B2F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56F72"/>
    <w:rsid w:val="00575335"/>
    <w:rsid w:val="00590771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D45AB"/>
    <w:rsid w:val="005E0364"/>
    <w:rsid w:val="005E48EA"/>
    <w:rsid w:val="005E5B1D"/>
    <w:rsid w:val="005E717F"/>
    <w:rsid w:val="005F0DC0"/>
    <w:rsid w:val="005F2406"/>
    <w:rsid w:val="005F6856"/>
    <w:rsid w:val="006119E0"/>
    <w:rsid w:val="00620804"/>
    <w:rsid w:val="006226D5"/>
    <w:rsid w:val="00623179"/>
    <w:rsid w:val="00623773"/>
    <w:rsid w:val="006408E3"/>
    <w:rsid w:val="00641352"/>
    <w:rsid w:val="00646D3C"/>
    <w:rsid w:val="00650EB1"/>
    <w:rsid w:val="00654DC2"/>
    <w:rsid w:val="0066343A"/>
    <w:rsid w:val="0066392B"/>
    <w:rsid w:val="00665F65"/>
    <w:rsid w:val="00666312"/>
    <w:rsid w:val="00671334"/>
    <w:rsid w:val="00681FC5"/>
    <w:rsid w:val="00686E4B"/>
    <w:rsid w:val="00696162"/>
    <w:rsid w:val="006B1F96"/>
    <w:rsid w:val="006C4E1F"/>
    <w:rsid w:val="006D2F54"/>
    <w:rsid w:val="006F2F74"/>
    <w:rsid w:val="006F61C5"/>
    <w:rsid w:val="007003FE"/>
    <w:rsid w:val="00706FFC"/>
    <w:rsid w:val="007079AA"/>
    <w:rsid w:val="00711913"/>
    <w:rsid w:val="00720419"/>
    <w:rsid w:val="0072236C"/>
    <w:rsid w:val="00724DC1"/>
    <w:rsid w:val="00732169"/>
    <w:rsid w:val="00734556"/>
    <w:rsid w:val="00734776"/>
    <w:rsid w:val="00753DA8"/>
    <w:rsid w:val="00764DCB"/>
    <w:rsid w:val="007650E5"/>
    <w:rsid w:val="00773E03"/>
    <w:rsid w:val="007754D7"/>
    <w:rsid w:val="007755AD"/>
    <w:rsid w:val="00784F64"/>
    <w:rsid w:val="00791B2E"/>
    <w:rsid w:val="007938DB"/>
    <w:rsid w:val="007940FD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801F8E"/>
    <w:rsid w:val="00802977"/>
    <w:rsid w:val="00803E16"/>
    <w:rsid w:val="0080636D"/>
    <w:rsid w:val="00820E46"/>
    <w:rsid w:val="00825405"/>
    <w:rsid w:val="00827A08"/>
    <w:rsid w:val="0083585C"/>
    <w:rsid w:val="0083602B"/>
    <w:rsid w:val="008450C9"/>
    <w:rsid w:val="00850F96"/>
    <w:rsid w:val="00854771"/>
    <w:rsid w:val="008771A5"/>
    <w:rsid w:val="0088470C"/>
    <w:rsid w:val="00895B5E"/>
    <w:rsid w:val="008A0416"/>
    <w:rsid w:val="008A2DD6"/>
    <w:rsid w:val="008B2354"/>
    <w:rsid w:val="008B2DEF"/>
    <w:rsid w:val="008B2EFD"/>
    <w:rsid w:val="008B316B"/>
    <w:rsid w:val="008B3E35"/>
    <w:rsid w:val="008B4917"/>
    <w:rsid w:val="008B4B88"/>
    <w:rsid w:val="008B6447"/>
    <w:rsid w:val="008C1446"/>
    <w:rsid w:val="008C2CC4"/>
    <w:rsid w:val="008C764F"/>
    <w:rsid w:val="008D4C87"/>
    <w:rsid w:val="008D4DC2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8F567E"/>
    <w:rsid w:val="00900BB1"/>
    <w:rsid w:val="009077C9"/>
    <w:rsid w:val="00910FA2"/>
    <w:rsid w:val="00916130"/>
    <w:rsid w:val="00921D0E"/>
    <w:rsid w:val="009251D5"/>
    <w:rsid w:val="00925BD1"/>
    <w:rsid w:val="00930534"/>
    <w:rsid w:val="00937B0A"/>
    <w:rsid w:val="00941A0C"/>
    <w:rsid w:val="009458AB"/>
    <w:rsid w:val="00945FAF"/>
    <w:rsid w:val="009479B7"/>
    <w:rsid w:val="00951067"/>
    <w:rsid w:val="00953773"/>
    <w:rsid w:val="00954B33"/>
    <w:rsid w:val="00962254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C2DE2"/>
    <w:rsid w:val="009D0D98"/>
    <w:rsid w:val="009D6725"/>
    <w:rsid w:val="009D6F92"/>
    <w:rsid w:val="009D7142"/>
    <w:rsid w:val="009E16DB"/>
    <w:rsid w:val="009E199C"/>
    <w:rsid w:val="009E6D9E"/>
    <w:rsid w:val="009F4F80"/>
    <w:rsid w:val="00A0468A"/>
    <w:rsid w:val="00A073A4"/>
    <w:rsid w:val="00A11086"/>
    <w:rsid w:val="00A12D5C"/>
    <w:rsid w:val="00A224D2"/>
    <w:rsid w:val="00A23C31"/>
    <w:rsid w:val="00A31DFF"/>
    <w:rsid w:val="00A3288D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4E5F"/>
    <w:rsid w:val="00AB6D18"/>
    <w:rsid w:val="00AC1968"/>
    <w:rsid w:val="00AC35C5"/>
    <w:rsid w:val="00AC3B3D"/>
    <w:rsid w:val="00AC523F"/>
    <w:rsid w:val="00AD12A9"/>
    <w:rsid w:val="00AD2EBB"/>
    <w:rsid w:val="00AE089B"/>
    <w:rsid w:val="00AE5286"/>
    <w:rsid w:val="00AF6E30"/>
    <w:rsid w:val="00B02902"/>
    <w:rsid w:val="00B141B6"/>
    <w:rsid w:val="00B23280"/>
    <w:rsid w:val="00B237F2"/>
    <w:rsid w:val="00B2610C"/>
    <w:rsid w:val="00B30036"/>
    <w:rsid w:val="00B3243D"/>
    <w:rsid w:val="00B346EB"/>
    <w:rsid w:val="00B34885"/>
    <w:rsid w:val="00B366D3"/>
    <w:rsid w:val="00B440C0"/>
    <w:rsid w:val="00B53FB9"/>
    <w:rsid w:val="00B600A4"/>
    <w:rsid w:val="00B60AA5"/>
    <w:rsid w:val="00B61D4B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3BA6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31D3"/>
    <w:rsid w:val="00C156D4"/>
    <w:rsid w:val="00C21E35"/>
    <w:rsid w:val="00C237B0"/>
    <w:rsid w:val="00C23B8E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B6C93"/>
    <w:rsid w:val="00CD0559"/>
    <w:rsid w:val="00CD5989"/>
    <w:rsid w:val="00CE0816"/>
    <w:rsid w:val="00CE5525"/>
    <w:rsid w:val="00CF1EF3"/>
    <w:rsid w:val="00CF6CBC"/>
    <w:rsid w:val="00D0257B"/>
    <w:rsid w:val="00D17EF5"/>
    <w:rsid w:val="00D20101"/>
    <w:rsid w:val="00D215E8"/>
    <w:rsid w:val="00D31908"/>
    <w:rsid w:val="00D327BD"/>
    <w:rsid w:val="00D32A5F"/>
    <w:rsid w:val="00D345A3"/>
    <w:rsid w:val="00D361EF"/>
    <w:rsid w:val="00D42E4D"/>
    <w:rsid w:val="00D52272"/>
    <w:rsid w:val="00D57BDB"/>
    <w:rsid w:val="00D61C9F"/>
    <w:rsid w:val="00D75F65"/>
    <w:rsid w:val="00D770A4"/>
    <w:rsid w:val="00D8088F"/>
    <w:rsid w:val="00D87E59"/>
    <w:rsid w:val="00DA0497"/>
    <w:rsid w:val="00DA3933"/>
    <w:rsid w:val="00DB4A7D"/>
    <w:rsid w:val="00DD1F72"/>
    <w:rsid w:val="00DE5867"/>
    <w:rsid w:val="00DE6ED7"/>
    <w:rsid w:val="00DE74D4"/>
    <w:rsid w:val="00DF0A94"/>
    <w:rsid w:val="00E01E47"/>
    <w:rsid w:val="00E05E54"/>
    <w:rsid w:val="00E210CB"/>
    <w:rsid w:val="00E30117"/>
    <w:rsid w:val="00E30219"/>
    <w:rsid w:val="00E30A78"/>
    <w:rsid w:val="00E30F6C"/>
    <w:rsid w:val="00E334C1"/>
    <w:rsid w:val="00E36BA6"/>
    <w:rsid w:val="00E36F41"/>
    <w:rsid w:val="00E37B3F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2F8C"/>
    <w:rsid w:val="00E86698"/>
    <w:rsid w:val="00E86B97"/>
    <w:rsid w:val="00E92F22"/>
    <w:rsid w:val="00E938F0"/>
    <w:rsid w:val="00E9585B"/>
    <w:rsid w:val="00EA05E3"/>
    <w:rsid w:val="00EA1163"/>
    <w:rsid w:val="00EA1F45"/>
    <w:rsid w:val="00EA7400"/>
    <w:rsid w:val="00EB1016"/>
    <w:rsid w:val="00EB640C"/>
    <w:rsid w:val="00EC0311"/>
    <w:rsid w:val="00EC10CC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EF5C6F"/>
    <w:rsid w:val="00F039BB"/>
    <w:rsid w:val="00F03C8C"/>
    <w:rsid w:val="00F0721C"/>
    <w:rsid w:val="00F1510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87DAD"/>
    <w:rsid w:val="00F9254C"/>
    <w:rsid w:val="00FA3885"/>
    <w:rsid w:val="00FB0A83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F0BB-D3EB-4A3D-897D-0C9FBB90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59</cp:revision>
  <cp:lastPrinted>2020-11-02T12:27:00Z</cp:lastPrinted>
  <dcterms:created xsi:type="dcterms:W3CDTF">2025-10-16T13:28:00Z</dcterms:created>
  <dcterms:modified xsi:type="dcterms:W3CDTF">2025-10-24T11:04:00Z</dcterms:modified>
</cp:coreProperties>
</file>